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66" w:rsidRDefault="00014566" w:rsidP="00BA3D89">
      <w:pPr>
        <w:pStyle w:val="ECHRDecisionBody"/>
        <w:jc w:val="center"/>
      </w:pPr>
      <w:bookmarkStart w:id="0" w:name="_GoBack"/>
      <w:bookmarkEnd w:id="0"/>
    </w:p>
    <w:p w:rsidR="009179EF" w:rsidRDefault="009179EF" w:rsidP="00BA3D89">
      <w:pPr>
        <w:pStyle w:val="ECHRDecisionBody"/>
        <w:jc w:val="center"/>
      </w:pPr>
    </w:p>
    <w:p w:rsidR="009179EF" w:rsidRPr="00062973" w:rsidRDefault="009179EF" w:rsidP="00BA3D89">
      <w:pPr>
        <w:pStyle w:val="ECHRDecisionBody"/>
        <w:jc w:val="center"/>
      </w:pPr>
    </w:p>
    <w:p w:rsidR="00014566" w:rsidRPr="00062973" w:rsidRDefault="00C94B3B" w:rsidP="00014566">
      <w:pPr>
        <w:jc w:val="center"/>
      </w:pPr>
      <w:r>
        <w:t>FIRST SECTION</w:t>
      </w:r>
    </w:p>
    <w:p w:rsidR="00014566" w:rsidRDefault="00014566" w:rsidP="00014566">
      <w:pPr>
        <w:jc w:val="center"/>
      </w:pPr>
    </w:p>
    <w:p w:rsidR="009179EF" w:rsidRDefault="009179EF" w:rsidP="00014566">
      <w:pPr>
        <w:jc w:val="center"/>
      </w:pPr>
    </w:p>
    <w:p w:rsidR="009179EF" w:rsidRDefault="009179EF" w:rsidP="00014566">
      <w:pPr>
        <w:jc w:val="center"/>
      </w:pPr>
    </w:p>
    <w:p w:rsidR="009179EF" w:rsidRDefault="009179EF" w:rsidP="00014566">
      <w:pPr>
        <w:jc w:val="center"/>
      </w:pPr>
    </w:p>
    <w:p w:rsidR="009179EF" w:rsidRDefault="009179EF" w:rsidP="00014566">
      <w:pPr>
        <w:jc w:val="center"/>
      </w:pPr>
    </w:p>
    <w:p w:rsidR="00014566" w:rsidRPr="00062973" w:rsidRDefault="00014566" w:rsidP="00014566">
      <w:pPr>
        <w:jc w:val="center"/>
      </w:pPr>
    </w:p>
    <w:p w:rsidR="00014566" w:rsidRPr="00062973" w:rsidRDefault="00014566" w:rsidP="00014566">
      <w:pPr>
        <w:jc w:val="center"/>
      </w:pPr>
    </w:p>
    <w:p w:rsidR="00014566" w:rsidRPr="008B659F" w:rsidRDefault="00014566" w:rsidP="00014566">
      <w:pPr>
        <w:jc w:val="center"/>
        <w:rPr>
          <w:b/>
        </w:rPr>
      </w:pPr>
      <w:bookmarkStart w:id="1" w:name="To"/>
      <w:r w:rsidRPr="008B659F">
        <w:rPr>
          <w:b/>
        </w:rPr>
        <w:t xml:space="preserve">CASE OF </w:t>
      </w:r>
      <w:bookmarkEnd w:id="1"/>
      <w:r w:rsidR="00C94B3B">
        <w:rPr>
          <w:b/>
        </w:rPr>
        <w:t xml:space="preserve">L.M. </w:t>
      </w:r>
      <w:r w:rsidR="009D188F">
        <w:rPr>
          <w:b/>
        </w:rPr>
        <w:t>AND OTHERS</w:t>
      </w:r>
      <w:r w:rsidR="00515E83">
        <w:rPr>
          <w:b/>
        </w:rPr>
        <w:t xml:space="preserve"> </w:t>
      </w:r>
      <w:r w:rsidR="00C94B3B">
        <w:rPr>
          <w:b/>
        </w:rPr>
        <w:t>v. RUSSIA</w:t>
      </w:r>
    </w:p>
    <w:p w:rsidR="00014566" w:rsidRPr="00062973" w:rsidRDefault="00014566" w:rsidP="00014566">
      <w:pPr>
        <w:jc w:val="center"/>
      </w:pPr>
    </w:p>
    <w:p w:rsidR="00014566" w:rsidRPr="00D53C0F" w:rsidRDefault="00014566" w:rsidP="00014566">
      <w:pPr>
        <w:jc w:val="center"/>
        <w:rPr>
          <w:i/>
        </w:rPr>
      </w:pPr>
      <w:r w:rsidRPr="00D53C0F">
        <w:rPr>
          <w:i/>
        </w:rPr>
        <w:t>(</w:t>
      </w:r>
      <w:r w:rsidR="00C94B3B" w:rsidRPr="00D53C0F">
        <w:rPr>
          <w:i/>
        </w:rPr>
        <w:t xml:space="preserve">Applications nos. </w:t>
      </w:r>
      <w:r w:rsidR="00C94B3B">
        <w:rPr>
          <w:i/>
        </w:rPr>
        <w:t>40081/14</w:t>
      </w:r>
      <w:r w:rsidR="00515E83">
        <w:rPr>
          <w:i/>
        </w:rPr>
        <w:t>, 40088/14</w:t>
      </w:r>
      <w:r w:rsidR="00C94B3B" w:rsidRPr="00D53C0F">
        <w:rPr>
          <w:i/>
        </w:rPr>
        <w:t xml:space="preserve"> and </w:t>
      </w:r>
      <w:r w:rsidR="00515E83">
        <w:rPr>
          <w:i/>
        </w:rPr>
        <w:t>40127/14</w:t>
      </w:r>
      <w:r w:rsidRPr="00D53C0F">
        <w:rPr>
          <w:i/>
        </w:rPr>
        <w:t>)</w:t>
      </w:r>
    </w:p>
    <w:p w:rsidR="00014566" w:rsidRPr="00062973" w:rsidRDefault="00014566" w:rsidP="00014566">
      <w:pPr>
        <w:jc w:val="center"/>
      </w:pPr>
    </w:p>
    <w:p w:rsidR="00014566" w:rsidRPr="00062973" w:rsidRDefault="00014566" w:rsidP="00014566">
      <w:pPr>
        <w:jc w:val="center"/>
      </w:pPr>
    </w:p>
    <w:p w:rsidR="00014566" w:rsidRPr="00062973" w:rsidRDefault="00014566" w:rsidP="00014566">
      <w:pPr>
        <w:jc w:val="center"/>
      </w:pPr>
    </w:p>
    <w:p w:rsidR="00014566" w:rsidRPr="00062973" w:rsidRDefault="00014566" w:rsidP="00014566">
      <w:pPr>
        <w:jc w:val="center"/>
      </w:pPr>
    </w:p>
    <w:p w:rsidR="00014566" w:rsidRPr="00062973" w:rsidRDefault="00014566" w:rsidP="00014566">
      <w:pPr>
        <w:jc w:val="center"/>
      </w:pPr>
    </w:p>
    <w:p w:rsidR="00014566" w:rsidRPr="00062973" w:rsidRDefault="00014566" w:rsidP="00014566">
      <w:pPr>
        <w:jc w:val="center"/>
      </w:pPr>
    </w:p>
    <w:p w:rsidR="009179EF" w:rsidRDefault="009179EF" w:rsidP="009179EF">
      <w:pPr>
        <w:jc w:val="center"/>
        <w:rPr>
          <w:szCs w:val="24"/>
        </w:rPr>
      </w:pPr>
    </w:p>
    <w:p w:rsidR="00A01A51" w:rsidRDefault="00A01A51" w:rsidP="009179EF">
      <w:pPr>
        <w:jc w:val="center"/>
        <w:rPr>
          <w:szCs w:val="24"/>
        </w:rPr>
      </w:pPr>
    </w:p>
    <w:p w:rsidR="00A01A51" w:rsidRDefault="00A01A51" w:rsidP="009179EF">
      <w:pPr>
        <w:jc w:val="center"/>
        <w:rPr>
          <w:szCs w:val="24"/>
        </w:rPr>
      </w:pPr>
    </w:p>
    <w:p w:rsidR="00A01A51" w:rsidRDefault="00A01A51" w:rsidP="009179EF">
      <w:pPr>
        <w:jc w:val="center"/>
        <w:rPr>
          <w:szCs w:val="24"/>
        </w:rPr>
      </w:pPr>
    </w:p>
    <w:p w:rsidR="00515E83" w:rsidRPr="009179EF" w:rsidRDefault="009179EF" w:rsidP="009179EF">
      <w:pPr>
        <w:jc w:val="center"/>
        <w:rPr>
          <w:szCs w:val="24"/>
        </w:rPr>
      </w:pPr>
      <w:r>
        <w:rPr>
          <w:szCs w:val="24"/>
        </w:rPr>
        <w:t>JUDGMENT</w:t>
      </w:r>
    </w:p>
    <w:p w:rsidR="009179EF" w:rsidRDefault="009179EF" w:rsidP="009179EF">
      <w:pPr>
        <w:pStyle w:val="JuCase"/>
        <w:ind w:firstLine="0"/>
        <w:jc w:val="center"/>
        <w:rPr>
          <w:b w:val="0"/>
        </w:rPr>
      </w:pPr>
    </w:p>
    <w:p w:rsidR="00A01A51" w:rsidRPr="00A01A51" w:rsidRDefault="00A01A51" w:rsidP="00BA3D89">
      <w:pPr>
        <w:jc w:val="center"/>
      </w:pPr>
    </w:p>
    <w:p w:rsidR="009179EF" w:rsidRDefault="009179EF" w:rsidP="009179EF">
      <w:pPr>
        <w:pStyle w:val="JuCase"/>
        <w:ind w:firstLine="0"/>
        <w:jc w:val="center"/>
        <w:rPr>
          <w:b w:val="0"/>
        </w:rPr>
      </w:pPr>
      <w:r>
        <w:rPr>
          <w:b w:val="0"/>
        </w:rPr>
        <w:t>STRASBOURG</w:t>
      </w:r>
    </w:p>
    <w:p w:rsidR="009179EF" w:rsidRDefault="009179EF" w:rsidP="009179EF">
      <w:pPr>
        <w:pStyle w:val="JuCase"/>
        <w:ind w:firstLine="0"/>
        <w:jc w:val="center"/>
        <w:rPr>
          <w:b w:val="0"/>
        </w:rPr>
      </w:pPr>
    </w:p>
    <w:p w:rsidR="009179EF" w:rsidRDefault="009179EF" w:rsidP="009179EF">
      <w:pPr>
        <w:pStyle w:val="JuCase"/>
        <w:ind w:firstLine="0"/>
        <w:jc w:val="center"/>
        <w:rPr>
          <w:b w:val="0"/>
        </w:rPr>
      </w:pPr>
      <w:r>
        <w:rPr>
          <w:b w:val="0"/>
        </w:rPr>
        <w:t>15 October 2015</w:t>
      </w:r>
    </w:p>
    <w:p w:rsidR="00E83AD8" w:rsidRDefault="00E83AD8" w:rsidP="00BA3D89">
      <w:pPr>
        <w:jc w:val="center"/>
      </w:pPr>
    </w:p>
    <w:p w:rsidR="00A01A51" w:rsidRDefault="00A01A51" w:rsidP="00BA3D89">
      <w:pPr>
        <w:jc w:val="center"/>
      </w:pPr>
    </w:p>
    <w:p w:rsidR="00A01A51" w:rsidRDefault="00A01A51" w:rsidP="00BA3D89">
      <w:pPr>
        <w:jc w:val="center"/>
      </w:pPr>
    </w:p>
    <w:p w:rsidR="00A01A51" w:rsidRDefault="00A01A51" w:rsidP="00BA3D89">
      <w:pPr>
        <w:jc w:val="center"/>
      </w:pPr>
    </w:p>
    <w:p w:rsidR="00A01A51" w:rsidRPr="00E83AD8" w:rsidRDefault="00A01A51" w:rsidP="00BA3D89">
      <w:pPr>
        <w:jc w:val="center"/>
      </w:pPr>
    </w:p>
    <w:p w:rsidR="009179EF" w:rsidRDefault="009179EF" w:rsidP="009179EF">
      <w:pPr>
        <w:pStyle w:val="JuCase"/>
        <w:ind w:firstLine="0"/>
        <w:rPr>
          <w:b w:val="0"/>
          <w:i/>
          <w:sz w:val="22"/>
        </w:rPr>
      </w:pPr>
      <w:r>
        <w:rPr>
          <w:b w:val="0"/>
          <w:i/>
          <w:sz w:val="22"/>
        </w:rPr>
        <w:t>This judgment will become final in the circumstances set out in Article 44 § 2 of the Convention. It may be subject to editorial revision.</w:t>
      </w:r>
    </w:p>
    <w:p w:rsidR="00A01A51" w:rsidRDefault="00A01A51" w:rsidP="00A01A51"/>
    <w:p w:rsidR="00BA3D89" w:rsidRPr="00A01A51" w:rsidRDefault="00BA3D89" w:rsidP="00A01A51">
      <w:pPr>
        <w:sectPr w:rsidR="00BA3D89" w:rsidRPr="00A01A51" w:rsidSect="009179EF">
          <w:head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p>
    <w:p w:rsidR="00014566" w:rsidRPr="00062973" w:rsidRDefault="00014566" w:rsidP="00D60D87">
      <w:pPr>
        <w:pStyle w:val="JuCase"/>
        <w:rPr>
          <w:bCs/>
        </w:rPr>
      </w:pPr>
      <w:r w:rsidRPr="00062973">
        <w:lastRenderedPageBreak/>
        <w:t xml:space="preserve">In the case of </w:t>
      </w:r>
      <w:r w:rsidR="00C94B3B">
        <w:t>L.M.</w:t>
      </w:r>
      <w:r w:rsidR="005E26A1">
        <w:t xml:space="preserve"> and Others</w:t>
      </w:r>
      <w:r w:rsidR="00C94B3B">
        <w:t xml:space="preserve"> v. Russia</w:t>
      </w:r>
      <w:r w:rsidRPr="00062973">
        <w:t>,</w:t>
      </w:r>
    </w:p>
    <w:p w:rsidR="00014566" w:rsidRPr="00062973" w:rsidRDefault="00014566" w:rsidP="005E2A43">
      <w:pPr>
        <w:pStyle w:val="ECHRPara"/>
      </w:pPr>
      <w:r w:rsidRPr="00062973">
        <w:t>The European Court of Human Rights (</w:t>
      </w:r>
      <w:r w:rsidR="00C94B3B">
        <w:t>First Section</w:t>
      </w:r>
      <w:r w:rsidRPr="00062973">
        <w:t xml:space="preserve">), sitting as a </w:t>
      </w:r>
      <w:r w:rsidR="00C94B3B">
        <w:t>Chamber</w:t>
      </w:r>
      <w:r w:rsidRPr="00062973">
        <w:t xml:space="preserve"> composed of:</w:t>
      </w:r>
    </w:p>
    <w:p w:rsidR="00014566" w:rsidRPr="00062973" w:rsidRDefault="009179EF" w:rsidP="00DF0549">
      <w:pPr>
        <w:pStyle w:val="ECHRDecisionBody"/>
      </w:pPr>
      <w:r w:rsidRPr="009179EF">
        <w:tab/>
      </w:r>
      <w:proofErr w:type="spellStart"/>
      <w:r w:rsidRPr="009179EF">
        <w:t>András</w:t>
      </w:r>
      <w:proofErr w:type="spellEnd"/>
      <w:r>
        <w:t xml:space="preserve"> </w:t>
      </w:r>
      <w:proofErr w:type="spellStart"/>
      <w:r w:rsidRPr="009179EF">
        <w:t>Sajó</w:t>
      </w:r>
      <w:proofErr w:type="spellEnd"/>
      <w:r>
        <w:t>,</w:t>
      </w:r>
      <w:r w:rsidRPr="009179EF">
        <w:rPr>
          <w:i/>
        </w:rPr>
        <w:t xml:space="preserve"> President,</w:t>
      </w:r>
      <w:r>
        <w:rPr>
          <w:i/>
        </w:rPr>
        <w:br/>
      </w:r>
      <w:r w:rsidRPr="009179EF">
        <w:tab/>
      </w:r>
      <w:proofErr w:type="spellStart"/>
      <w:r w:rsidRPr="009179EF">
        <w:t>Mirjana</w:t>
      </w:r>
      <w:proofErr w:type="spellEnd"/>
      <w:r>
        <w:t xml:space="preserve"> </w:t>
      </w:r>
      <w:proofErr w:type="spellStart"/>
      <w:r w:rsidRPr="009179EF">
        <w:t>Lazarova</w:t>
      </w:r>
      <w:proofErr w:type="spellEnd"/>
      <w:r w:rsidRPr="009179EF">
        <w:t xml:space="preserve"> </w:t>
      </w:r>
      <w:proofErr w:type="spellStart"/>
      <w:r w:rsidRPr="009179EF">
        <w:t>Trajkovska</w:t>
      </w:r>
      <w:proofErr w:type="spellEnd"/>
      <w:r>
        <w:t>,</w:t>
      </w:r>
      <w:r>
        <w:rPr>
          <w:i/>
        </w:rPr>
        <w:br/>
      </w:r>
      <w:r w:rsidRPr="009179EF">
        <w:tab/>
        <w:t>Julia</w:t>
      </w:r>
      <w:r>
        <w:t xml:space="preserve"> </w:t>
      </w:r>
      <w:proofErr w:type="spellStart"/>
      <w:r w:rsidRPr="009179EF">
        <w:t>Laffranque</w:t>
      </w:r>
      <w:proofErr w:type="spellEnd"/>
      <w:r>
        <w:t>,</w:t>
      </w:r>
      <w:r>
        <w:rPr>
          <w:i/>
        </w:rPr>
        <w:br/>
      </w:r>
      <w:r w:rsidRPr="009179EF">
        <w:tab/>
        <w:t>Paulo</w:t>
      </w:r>
      <w:r>
        <w:t xml:space="preserve"> </w:t>
      </w:r>
      <w:r w:rsidRPr="009179EF">
        <w:t>Pinto de Albuquerque</w:t>
      </w:r>
      <w:r>
        <w:t>,</w:t>
      </w:r>
      <w:r>
        <w:rPr>
          <w:i/>
        </w:rPr>
        <w:br/>
      </w:r>
      <w:r w:rsidRPr="009179EF">
        <w:tab/>
      </w:r>
      <w:proofErr w:type="spellStart"/>
      <w:r w:rsidRPr="009179EF">
        <w:t>Linos-Alexandre</w:t>
      </w:r>
      <w:proofErr w:type="spellEnd"/>
      <w:r>
        <w:t xml:space="preserve"> </w:t>
      </w:r>
      <w:proofErr w:type="spellStart"/>
      <w:r w:rsidRPr="009179EF">
        <w:t>Sicilianos</w:t>
      </w:r>
      <w:proofErr w:type="spellEnd"/>
      <w:r>
        <w:t>,</w:t>
      </w:r>
      <w:r>
        <w:rPr>
          <w:i/>
        </w:rPr>
        <w:br/>
      </w:r>
      <w:r w:rsidRPr="009179EF">
        <w:tab/>
        <w:t>Erik</w:t>
      </w:r>
      <w:r>
        <w:t xml:space="preserve"> </w:t>
      </w:r>
      <w:proofErr w:type="spellStart"/>
      <w:r w:rsidRPr="009179EF">
        <w:t>Møse</w:t>
      </w:r>
      <w:proofErr w:type="spellEnd"/>
      <w:r>
        <w:t>,</w:t>
      </w:r>
      <w:r>
        <w:rPr>
          <w:i/>
        </w:rPr>
        <w:br/>
      </w:r>
      <w:r w:rsidRPr="009179EF">
        <w:tab/>
        <w:t>Dmitry</w:t>
      </w:r>
      <w:r>
        <w:t xml:space="preserve"> </w:t>
      </w:r>
      <w:proofErr w:type="spellStart"/>
      <w:r w:rsidRPr="009179EF">
        <w:t>Dedov</w:t>
      </w:r>
      <w:proofErr w:type="spellEnd"/>
      <w:r>
        <w:t>,</w:t>
      </w:r>
      <w:r w:rsidRPr="009179EF">
        <w:rPr>
          <w:i/>
        </w:rPr>
        <w:t xml:space="preserve"> judges,</w:t>
      </w:r>
      <w:r>
        <w:rPr>
          <w:i/>
        </w:rPr>
        <w:br/>
      </w:r>
      <w:r w:rsidR="00014566" w:rsidRPr="00062973">
        <w:t xml:space="preserve">and </w:t>
      </w:r>
      <w:proofErr w:type="spellStart"/>
      <w:r w:rsidR="00C94B3B">
        <w:t>Søren</w:t>
      </w:r>
      <w:proofErr w:type="spellEnd"/>
      <w:r w:rsidR="00C94B3B" w:rsidRPr="00062973">
        <w:t xml:space="preserve"> </w:t>
      </w:r>
      <w:r w:rsidR="00C94B3B">
        <w:t>Nielsen</w:t>
      </w:r>
      <w:r w:rsidR="00014566" w:rsidRPr="00062973">
        <w:t xml:space="preserve">, </w:t>
      </w:r>
      <w:r w:rsidR="00C94B3B" w:rsidRPr="00062973">
        <w:rPr>
          <w:i/>
        </w:rPr>
        <w:t xml:space="preserve">Section </w:t>
      </w:r>
      <w:r w:rsidR="00C94B3B" w:rsidRPr="00062973">
        <w:rPr>
          <w:i/>
          <w:iCs/>
        </w:rPr>
        <w:t>Registrar</w:t>
      </w:r>
      <w:r w:rsidR="00014566" w:rsidRPr="00062973">
        <w:rPr>
          <w:i/>
        </w:rPr>
        <w:t>,</w:t>
      </w:r>
    </w:p>
    <w:p w:rsidR="00014566" w:rsidRPr="00062973" w:rsidRDefault="00014566" w:rsidP="00C621C2">
      <w:pPr>
        <w:pStyle w:val="ECHRPara"/>
      </w:pPr>
      <w:r w:rsidRPr="00062973">
        <w:t xml:space="preserve">Having deliberated in private on </w:t>
      </w:r>
      <w:r w:rsidR="009179EF">
        <w:t>22 September 2015</w:t>
      </w:r>
      <w:r w:rsidRPr="00062973">
        <w:t>,</w:t>
      </w:r>
    </w:p>
    <w:p w:rsidR="00014566" w:rsidRPr="00062973" w:rsidRDefault="00014566" w:rsidP="00C621C2">
      <w:pPr>
        <w:pStyle w:val="ECHRPara"/>
      </w:pPr>
      <w:r w:rsidRPr="00062973">
        <w:t>Delivers the following judgment, which was adopted on that date:</w:t>
      </w:r>
    </w:p>
    <w:p w:rsidR="00014566" w:rsidRPr="00062973" w:rsidRDefault="00014566" w:rsidP="00014566">
      <w:pPr>
        <w:pStyle w:val="ECHRTitle1"/>
      </w:pPr>
      <w:r w:rsidRPr="00062973">
        <w:t>PROCEDURE</w:t>
      </w:r>
    </w:p>
    <w:p w:rsidR="00014566" w:rsidRPr="00062973" w:rsidRDefault="00C94B3B" w:rsidP="00C621C2">
      <w:pPr>
        <w:pStyle w:val="ECHRPara"/>
      </w:pPr>
      <w:r>
        <w:fldChar w:fldCharType="begin"/>
      </w:r>
      <w:r>
        <w:instrText xml:space="preserve"> SEQ level0 \*arabic </w:instrText>
      </w:r>
      <w:r>
        <w:fldChar w:fldCharType="separate"/>
      </w:r>
      <w:r w:rsidR="00D21AD2">
        <w:rPr>
          <w:noProof/>
        </w:rPr>
        <w:t>1</w:t>
      </w:r>
      <w:r>
        <w:fldChar w:fldCharType="end"/>
      </w:r>
      <w:r w:rsidR="00014566" w:rsidRPr="00062973">
        <w:t xml:space="preserve">.  The case originated in </w:t>
      </w:r>
      <w:r w:rsidR="005E26A1">
        <w:t>three</w:t>
      </w:r>
      <w:r w:rsidRPr="00062973">
        <w:t xml:space="preserve"> applications (nos. </w:t>
      </w:r>
      <w:r>
        <w:t>40081/14</w:t>
      </w:r>
      <w:r w:rsidR="005E3AF5">
        <w:t>,</w:t>
      </w:r>
      <w:r w:rsidRPr="00062973">
        <w:t xml:space="preserve"> </w:t>
      </w:r>
      <w:r w:rsidR="005E26A1" w:rsidRPr="005E26A1">
        <w:t>40088/14 and 40127/14</w:t>
      </w:r>
      <w:r w:rsidRPr="00062973">
        <w:t>)</w:t>
      </w:r>
      <w:r w:rsidR="00014566" w:rsidRPr="00062973">
        <w:t xml:space="preserve"> against </w:t>
      </w:r>
      <w:r>
        <w:t>the Russian Federation</w:t>
      </w:r>
      <w:r w:rsidR="00014566" w:rsidRPr="00062973">
        <w:t xml:space="preserve"> lodged with the </w:t>
      </w:r>
      <w:r w:rsidRPr="00062973">
        <w:t>Court under Article 34</w:t>
      </w:r>
      <w:r w:rsidR="00014566" w:rsidRPr="00062973">
        <w:t xml:space="preserve"> of the Convention for the Protection of Human Rights and Fundamental Freedoms (“the Convention”) by</w:t>
      </w:r>
      <w:r w:rsidR="00181CE5">
        <w:t xml:space="preserve"> a stateless Palestinian from Syria</w:t>
      </w:r>
      <w:r w:rsidRPr="00062973">
        <w:t xml:space="preserve">, </w:t>
      </w:r>
      <w:r>
        <w:t>L</w:t>
      </w:r>
      <w:r w:rsidR="005E26A1">
        <w:t>.</w:t>
      </w:r>
      <w:r>
        <w:t>M</w:t>
      </w:r>
      <w:r w:rsidR="005E26A1">
        <w:t xml:space="preserve">., </w:t>
      </w:r>
      <w:r w:rsidR="00181CE5">
        <w:t>and two</w:t>
      </w:r>
      <w:r w:rsidR="00181CE5" w:rsidRPr="00062973">
        <w:t xml:space="preserve"> </w:t>
      </w:r>
      <w:r w:rsidR="00181CE5">
        <w:t>Syrian</w:t>
      </w:r>
      <w:r w:rsidR="00181CE5" w:rsidRPr="00062973">
        <w:t xml:space="preserve"> nationals</w:t>
      </w:r>
      <w:r w:rsidR="00181CE5">
        <w:t xml:space="preserve">, </w:t>
      </w:r>
      <w:r w:rsidR="005E26A1">
        <w:t>A.A.</w:t>
      </w:r>
      <w:r w:rsidRPr="00062973">
        <w:t xml:space="preserve"> and Mr</w:t>
      </w:r>
      <w:r w:rsidR="005E26A1">
        <w:t> M.A.</w:t>
      </w:r>
      <w:r w:rsidRPr="00062973">
        <w:t xml:space="preserve"> (“the applicants”), on </w:t>
      </w:r>
      <w:r>
        <w:t xml:space="preserve">29 </w:t>
      </w:r>
      <w:r w:rsidR="005E26A1">
        <w:t xml:space="preserve">and 30 </w:t>
      </w:r>
      <w:r>
        <w:t>May 2014</w:t>
      </w:r>
      <w:r w:rsidRPr="00062973">
        <w:t xml:space="preserve"> respectively</w:t>
      </w:r>
      <w:r w:rsidR="00014566" w:rsidRPr="00062973">
        <w:t xml:space="preserve">. </w:t>
      </w:r>
      <w:r w:rsidRPr="00062973">
        <w:t xml:space="preserve">The </w:t>
      </w:r>
      <w:r>
        <w:t>President of the Section</w:t>
      </w:r>
      <w:r w:rsidRPr="00062973">
        <w:t xml:space="preserve"> </w:t>
      </w:r>
      <w:r w:rsidR="005E26A1">
        <w:t>decided that the</w:t>
      </w:r>
      <w:r w:rsidRPr="00062973">
        <w:t xml:space="preserve"> applicants</w:t>
      </w:r>
      <w:r w:rsidR="00BA3D89">
        <w:t>’</w:t>
      </w:r>
      <w:r w:rsidRPr="00062973">
        <w:t xml:space="preserve"> names </w:t>
      </w:r>
      <w:r w:rsidR="005E26A1">
        <w:t xml:space="preserve">should not be </w:t>
      </w:r>
      <w:r w:rsidRPr="00062973">
        <w:t xml:space="preserve">disclosed </w:t>
      </w:r>
      <w:r w:rsidR="005E26A1">
        <w:t xml:space="preserve">to the public </w:t>
      </w:r>
      <w:r w:rsidRPr="00062973">
        <w:t xml:space="preserve">(Rule 47 § </w:t>
      </w:r>
      <w:r w:rsidR="00181CE5">
        <w:t>3</w:t>
      </w:r>
      <w:r w:rsidRPr="00062973">
        <w:t xml:space="preserve"> of the Rules of Court).</w:t>
      </w:r>
    </w:p>
    <w:p w:rsidR="00C94B3B" w:rsidRPr="00062973" w:rsidRDefault="00C94B3B" w:rsidP="00C621C2">
      <w:pPr>
        <w:pStyle w:val="ECHRPara"/>
      </w:pPr>
      <w:r>
        <w:rPr>
          <w:lang w:val="pt-BR"/>
        </w:rPr>
        <w:fldChar w:fldCharType="begin"/>
      </w:r>
      <w:r w:rsidRPr="00A21D48">
        <w:instrText xml:space="preserve"> SEQ level0 \*arabic </w:instrText>
      </w:r>
      <w:r>
        <w:rPr>
          <w:lang w:val="pt-BR"/>
        </w:rPr>
        <w:fldChar w:fldCharType="separate"/>
      </w:r>
      <w:r w:rsidR="00D21AD2">
        <w:rPr>
          <w:noProof/>
        </w:rPr>
        <w:t>2</w:t>
      </w:r>
      <w:r>
        <w:rPr>
          <w:lang w:val="pt-BR"/>
        </w:rPr>
        <w:fldChar w:fldCharType="end"/>
      </w:r>
      <w:r w:rsidR="00014566" w:rsidRPr="00A21D48">
        <w:t>.  </w:t>
      </w:r>
      <w:r w:rsidRPr="00A21D48">
        <w:t xml:space="preserve">The applicants were represented by Ms N.Y. </w:t>
      </w:r>
      <w:proofErr w:type="spellStart"/>
      <w:r w:rsidRPr="00A21D48">
        <w:t>Golovanchuk</w:t>
      </w:r>
      <w:proofErr w:type="spellEnd"/>
      <w:r w:rsidR="001574CC" w:rsidRPr="00A21D48">
        <w:t>, a lawyer practis</w:t>
      </w:r>
      <w:r w:rsidRPr="00A21D48">
        <w:t xml:space="preserve">ing in Moscow. </w:t>
      </w:r>
      <w:r w:rsidR="00014566" w:rsidRPr="00DA5CB8">
        <w:t xml:space="preserve">The </w:t>
      </w:r>
      <w:r w:rsidRPr="00DA5CB8">
        <w:t>Russian</w:t>
      </w:r>
      <w:r w:rsidR="00014566" w:rsidRPr="00DA5CB8">
        <w:t xml:space="preserve"> Government (“the Government”) were represented by </w:t>
      </w:r>
      <w:r w:rsidR="005E26A1" w:rsidRPr="00E83AD8">
        <w:t xml:space="preserve">Mr G. </w:t>
      </w:r>
      <w:proofErr w:type="spellStart"/>
      <w:r w:rsidR="005E26A1" w:rsidRPr="00E83AD8">
        <w:t>Matyushkin</w:t>
      </w:r>
      <w:proofErr w:type="spellEnd"/>
      <w:r w:rsidR="005E26A1" w:rsidRPr="00E83AD8">
        <w:t>, Representative of the Russian Federation at the European Court of Human Rights</w:t>
      </w:r>
      <w:r w:rsidR="00014566" w:rsidRPr="00DA5CB8">
        <w:t>.</w:t>
      </w:r>
    </w:p>
    <w:p w:rsidR="009E1BDD" w:rsidRDefault="00C94B3B" w:rsidP="00C621C2">
      <w:pPr>
        <w:pStyle w:val="ECHRPara"/>
      </w:pPr>
      <w:r>
        <w:fldChar w:fldCharType="begin"/>
      </w:r>
      <w:r>
        <w:instrText xml:space="preserve"> SEQ level0 \*arabic </w:instrText>
      </w:r>
      <w:r>
        <w:fldChar w:fldCharType="separate"/>
      </w:r>
      <w:r w:rsidR="00D21AD2">
        <w:rPr>
          <w:noProof/>
        </w:rPr>
        <w:t>3</w:t>
      </w:r>
      <w:r>
        <w:fldChar w:fldCharType="end"/>
      </w:r>
      <w:r w:rsidRPr="00062973">
        <w:t xml:space="preserve">.  The applicants alleged, in particular, </w:t>
      </w:r>
      <w:r w:rsidR="00F571C1">
        <w:t>that their return to Syria would be in breach of their rights guaranteed by Articles 2 and 3 of the Convention</w:t>
      </w:r>
      <w:r w:rsidR="00535E8A">
        <w:t>,</w:t>
      </w:r>
      <w:r w:rsidR="008F4629">
        <w:t xml:space="preserve"> and that their detention in Russia </w:t>
      </w:r>
      <w:r w:rsidR="00254C02">
        <w:t>had</w:t>
      </w:r>
      <w:r w:rsidR="008F4629">
        <w:t xml:space="preserve"> been in breach of Articles</w:t>
      </w:r>
      <w:r w:rsidR="00965E4D">
        <w:t> </w:t>
      </w:r>
      <w:r w:rsidR="008F4629">
        <w:t>3 and 5 of the Convention.</w:t>
      </w:r>
    </w:p>
    <w:p w:rsidR="00E72243" w:rsidRDefault="00C94B3B" w:rsidP="00C621C2">
      <w:pPr>
        <w:pStyle w:val="ECHRPara"/>
      </w:pPr>
      <w:r>
        <w:fldChar w:fldCharType="begin"/>
      </w:r>
      <w:r>
        <w:instrText xml:space="preserve"> SEQ level0 \*arabic </w:instrText>
      </w:r>
      <w:r>
        <w:fldChar w:fldCharType="separate"/>
      </w:r>
      <w:r w:rsidR="00D21AD2">
        <w:rPr>
          <w:noProof/>
        </w:rPr>
        <w:t>4</w:t>
      </w:r>
      <w:r>
        <w:fldChar w:fldCharType="end"/>
      </w:r>
      <w:r w:rsidR="00014566" w:rsidRPr="00062973">
        <w:t>.  </w:t>
      </w:r>
      <w:r w:rsidR="00E72243" w:rsidRPr="00E72243">
        <w:t xml:space="preserve">On </w:t>
      </w:r>
      <w:r w:rsidR="00E72243">
        <w:t>30 May</w:t>
      </w:r>
      <w:r w:rsidR="00E72243" w:rsidRPr="00E72243">
        <w:t xml:space="preserve"> 201</w:t>
      </w:r>
      <w:r w:rsidR="00E72243">
        <w:t>4</w:t>
      </w:r>
      <w:r w:rsidR="00E72243" w:rsidRPr="00E72243">
        <w:t xml:space="preserve"> the Acting President of the First Section decided to indicate to the Russian Government, under Rule 39 of the Rules of Court, that the applicant</w:t>
      </w:r>
      <w:r w:rsidR="00E72243">
        <w:t>s</w:t>
      </w:r>
      <w:r w:rsidR="00E72243" w:rsidRPr="00E72243">
        <w:t xml:space="preserve"> should not be expelled to </w:t>
      </w:r>
      <w:r w:rsidR="00E244F4">
        <w:t>Syria</w:t>
      </w:r>
      <w:r w:rsidR="00E72243" w:rsidRPr="00E72243">
        <w:t xml:space="preserve"> for the duration of the proceedings before the Court. The Acting President also decided to grant the case priority under Rule 41 of the Rules of Court</w:t>
      </w:r>
      <w:r w:rsidR="00E244F4">
        <w:t>.</w:t>
      </w:r>
    </w:p>
    <w:p w:rsidR="00014566" w:rsidRPr="00062973" w:rsidRDefault="00E244F4" w:rsidP="00C621C2">
      <w:pPr>
        <w:pStyle w:val="ECHRPara"/>
      </w:pPr>
      <w:r>
        <w:fldChar w:fldCharType="begin"/>
      </w:r>
      <w:r>
        <w:instrText xml:space="preserve"> SEQ level0 \*arabic </w:instrText>
      </w:r>
      <w:r>
        <w:fldChar w:fldCharType="separate"/>
      </w:r>
      <w:r w:rsidR="00D21AD2">
        <w:rPr>
          <w:noProof/>
        </w:rPr>
        <w:t>5</w:t>
      </w:r>
      <w:r>
        <w:fldChar w:fldCharType="end"/>
      </w:r>
      <w:r>
        <w:t>.  </w:t>
      </w:r>
      <w:r w:rsidR="00C94B3B" w:rsidRPr="00062973">
        <w:t xml:space="preserve">On </w:t>
      </w:r>
      <w:r w:rsidR="00F571C1">
        <w:t>30 May 2014</w:t>
      </w:r>
      <w:r w:rsidR="00C94B3B" w:rsidRPr="00062973">
        <w:t xml:space="preserve"> </w:t>
      </w:r>
      <w:r w:rsidR="008F4629">
        <w:t xml:space="preserve">and 25 March 2015 </w:t>
      </w:r>
      <w:r w:rsidR="00014566" w:rsidRPr="00062973">
        <w:t xml:space="preserve">the </w:t>
      </w:r>
      <w:r w:rsidR="00C94B3B" w:rsidRPr="00062973">
        <w:t>applications were communicated to the Government</w:t>
      </w:r>
      <w:r w:rsidR="00014566" w:rsidRPr="00062973">
        <w:t>.</w:t>
      </w:r>
    </w:p>
    <w:p w:rsidR="00014566" w:rsidRPr="00943B86" w:rsidRDefault="00014566" w:rsidP="00943B86">
      <w:pPr>
        <w:pStyle w:val="ECHRTitle1"/>
      </w:pPr>
      <w:r w:rsidRPr="00943B86">
        <w:lastRenderedPageBreak/>
        <w:t>THE FACTS</w:t>
      </w:r>
    </w:p>
    <w:p w:rsidR="00014566" w:rsidRDefault="00014566" w:rsidP="00014566">
      <w:pPr>
        <w:pStyle w:val="ECHRHeading1"/>
      </w:pPr>
      <w:r w:rsidRPr="00062973">
        <w:t>I.  THE CIRCUMSTANCES OF THE CASE</w:t>
      </w:r>
    </w:p>
    <w:p w:rsidR="009E1BDD" w:rsidRDefault="00E244F4" w:rsidP="00E244F4">
      <w:pPr>
        <w:pStyle w:val="ECHRPara"/>
      </w:pPr>
      <w:r>
        <w:fldChar w:fldCharType="begin"/>
      </w:r>
      <w:r>
        <w:instrText xml:space="preserve"> SEQ level0 \*arabic </w:instrText>
      </w:r>
      <w:r>
        <w:fldChar w:fldCharType="separate"/>
      </w:r>
      <w:r w:rsidR="00D21AD2">
        <w:rPr>
          <w:noProof/>
        </w:rPr>
        <w:t>6</w:t>
      </w:r>
      <w:r>
        <w:fldChar w:fldCharType="end"/>
      </w:r>
      <w:r>
        <w:t>.  The</w:t>
      </w:r>
      <w:r w:rsidR="00535E8A">
        <w:t xml:space="preserve"> </w:t>
      </w:r>
      <w:r w:rsidRPr="00E244F4">
        <w:t>applicants</w:t>
      </w:r>
      <w:r>
        <w:t xml:space="preserve"> are Syrian nationals</w:t>
      </w:r>
      <w:r w:rsidR="009624DA">
        <w:t xml:space="preserve"> or had their habitual residence in Syria</w:t>
      </w:r>
      <w:r>
        <w:t xml:space="preserve">. At the time of </w:t>
      </w:r>
      <w:r w:rsidR="00EF35C7">
        <w:t>lodging</w:t>
      </w:r>
      <w:r>
        <w:t xml:space="preserve"> </w:t>
      </w:r>
      <w:r w:rsidR="00254C02">
        <w:t>their</w:t>
      </w:r>
      <w:r>
        <w:t xml:space="preserve"> </w:t>
      </w:r>
      <w:r w:rsidR="00254C02">
        <w:t>applications</w:t>
      </w:r>
      <w:r>
        <w:t xml:space="preserve"> the</w:t>
      </w:r>
      <w:r w:rsidR="00535E8A">
        <w:t>y</w:t>
      </w:r>
      <w:r>
        <w:t xml:space="preserve"> were detained at </w:t>
      </w:r>
      <w:r w:rsidR="00535E8A">
        <w:t xml:space="preserve">a </w:t>
      </w:r>
      <w:r w:rsidR="00EF35C7">
        <w:t xml:space="preserve">detention centre for </w:t>
      </w:r>
      <w:r w:rsidR="00B9280E">
        <w:t xml:space="preserve">foreign nationals </w:t>
      </w:r>
      <w:r w:rsidR="00EF35C7">
        <w:t xml:space="preserve">in </w:t>
      </w:r>
      <w:r w:rsidR="008B4AF6" w:rsidRPr="00DC77AA">
        <w:t xml:space="preserve">the town of </w:t>
      </w:r>
      <w:proofErr w:type="spellStart"/>
      <w:r w:rsidR="00EF35C7">
        <w:t>Maloyaroslavets</w:t>
      </w:r>
      <w:proofErr w:type="spellEnd"/>
      <w:r w:rsidR="00EF35C7">
        <w:t>, Kalug</w:t>
      </w:r>
      <w:r w:rsidR="001574CC">
        <w:t>a</w:t>
      </w:r>
      <w:r w:rsidR="00EF35C7">
        <w:t xml:space="preserve"> Region</w:t>
      </w:r>
      <w:r w:rsidR="00BF10CB">
        <w:t xml:space="preserve"> (</w:t>
      </w:r>
      <w:r w:rsidR="00BF10CB" w:rsidRPr="00DA5CB8">
        <w:rPr>
          <w:i/>
          <w:lang w:val="ru-RU"/>
        </w:rPr>
        <w:t>ОСУСВИГ</w:t>
      </w:r>
      <w:r w:rsidR="004751B6">
        <w:t xml:space="preserve"> – “</w:t>
      </w:r>
      <w:r w:rsidR="00BF10CB">
        <w:t>the detention centre</w:t>
      </w:r>
      <w:r w:rsidR="004751B6">
        <w:t>”</w:t>
      </w:r>
      <w:r w:rsidR="00BF10CB">
        <w:t>)</w:t>
      </w:r>
      <w:r w:rsidR="00EF35C7">
        <w:t>, run by the local Feder</w:t>
      </w:r>
      <w:r w:rsidR="001574CC">
        <w:t>al Migration Service (</w:t>
      </w:r>
      <w:r w:rsidR="00535E8A">
        <w:t>“</w:t>
      </w:r>
      <w:r w:rsidR="001574CC">
        <w:t>FMS</w:t>
      </w:r>
      <w:r w:rsidR="00535E8A">
        <w:t>”</w:t>
      </w:r>
      <w:r w:rsidR="001574CC">
        <w:t>).</w:t>
      </w:r>
    </w:p>
    <w:p w:rsidR="00E244F4" w:rsidRDefault="00965E4D" w:rsidP="00E244F4">
      <w:pPr>
        <w:pStyle w:val="ECHRHeading2"/>
      </w:pPr>
      <w:r>
        <w:t>A.  </w:t>
      </w:r>
      <w:r w:rsidR="00E244F4">
        <w:t>The applicants</w:t>
      </w:r>
      <w:r w:rsidR="00BA3D89">
        <w:t>’</w:t>
      </w:r>
      <w:r w:rsidR="00E244F4">
        <w:t xml:space="preserve"> </w:t>
      </w:r>
      <w:r w:rsidR="002E7DC9">
        <w:t xml:space="preserve">personal </w:t>
      </w:r>
      <w:r w:rsidR="00E244F4">
        <w:t>details</w:t>
      </w:r>
    </w:p>
    <w:p w:rsidR="009E1BDD" w:rsidRDefault="00C94B3B" w:rsidP="00C621C2">
      <w:pPr>
        <w:pStyle w:val="ECHRPara"/>
      </w:pPr>
      <w:r>
        <w:fldChar w:fldCharType="begin"/>
      </w:r>
      <w:r>
        <w:instrText xml:space="preserve"> SEQ level0 \*arabic </w:instrText>
      </w:r>
      <w:r>
        <w:fldChar w:fldCharType="separate"/>
      </w:r>
      <w:r w:rsidR="00D21AD2">
        <w:rPr>
          <w:noProof/>
        </w:rPr>
        <w:t>7</w:t>
      </w:r>
      <w:r>
        <w:fldChar w:fldCharType="end"/>
      </w:r>
      <w:r w:rsidR="00014566" w:rsidRPr="00062973">
        <w:t xml:space="preserve">.  The </w:t>
      </w:r>
      <w:r w:rsidR="00E244F4">
        <w:t>applicant L.M. (application no. 40081/14) was born in</w:t>
      </w:r>
      <w:r w:rsidRPr="00062973">
        <w:t xml:space="preserve"> </w:t>
      </w:r>
      <w:r w:rsidR="00E244F4">
        <w:t xml:space="preserve">1988. He entered Russia on 9 February 2013. He was detained on 14 April 2014. </w:t>
      </w:r>
      <w:r w:rsidR="000A00BE">
        <w:t xml:space="preserve">He </w:t>
      </w:r>
      <w:r w:rsidR="009624DA">
        <w:t xml:space="preserve">is a stateless Palestinian who had his habitual residence in Syria. He </w:t>
      </w:r>
      <w:r w:rsidR="000A00BE">
        <w:t>was not in possession of a valid national ID at the time of detention</w:t>
      </w:r>
      <w:r w:rsidR="008B4AF6">
        <w:t>,</w:t>
      </w:r>
      <w:r w:rsidR="000A00BE">
        <w:t xml:space="preserve"> and his identity </w:t>
      </w:r>
      <w:r w:rsidR="008B4AF6">
        <w:t>was</w:t>
      </w:r>
      <w:r w:rsidR="000A00BE">
        <w:t xml:space="preserve"> established by an immigration officer in Russia in 2014.</w:t>
      </w:r>
    </w:p>
    <w:p w:rsidR="009E1BDD" w:rsidRDefault="000A00BE" w:rsidP="00C621C2">
      <w:pPr>
        <w:pStyle w:val="ECHRPara"/>
      </w:pPr>
      <w:r>
        <w:fldChar w:fldCharType="begin"/>
      </w:r>
      <w:r>
        <w:instrText xml:space="preserve"> SEQ level0 \*arabic </w:instrText>
      </w:r>
      <w:r>
        <w:fldChar w:fldCharType="separate"/>
      </w:r>
      <w:r w:rsidR="00D21AD2">
        <w:rPr>
          <w:noProof/>
        </w:rPr>
        <w:t>8</w:t>
      </w:r>
      <w:r>
        <w:fldChar w:fldCharType="end"/>
      </w:r>
      <w:r>
        <w:t>.  The applicant A.A. (application no. 40088/14) was born in 1987. He entered Russia on 21 April 2013. He was detained on 15 April 2014.</w:t>
      </w:r>
    </w:p>
    <w:p w:rsidR="009E1BDD" w:rsidRDefault="00C75E74" w:rsidP="00C621C2">
      <w:pPr>
        <w:pStyle w:val="ECHRPara"/>
      </w:pPr>
      <w:r>
        <w:fldChar w:fldCharType="begin"/>
      </w:r>
      <w:r>
        <w:instrText xml:space="preserve"> SEQ level0 \*arabic </w:instrText>
      </w:r>
      <w:r>
        <w:fldChar w:fldCharType="separate"/>
      </w:r>
      <w:r w:rsidR="00D21AD2">
        <w:rPr>
          <w:noProof/>
        </w:rPr>
        <w:t>9</w:t>
      </w:r>
      <w:r>
        <w:fldChar w:fldCharType="end"/>
      </w:r>
      <w:r>
        <w:t>.  The applicant M.</w:t>
      </w:r>
      <w:r w:rsidR="00807B20">
        <w:t>A.</w:t>
      </w:r>
      <w:r>
        <w:t xml:space="preserve"> (application no. 40127/14) was born in 1994. He entered Russia on 21 April 2013. He was detained on 15 April 2014</w:t>
      </w:r>
      <w:r w:rsidR="008B4AF6">
        <w:t xml:space="preserve"> and </w:t>
      </w:r>
      <w:r w:rsidR="0022234B">
        <w:t xml:space="preserve">has a brother, </w:t>
      </w:r>
      <w:r w:rsidR="00A85A19">
        <w:t xml:space="preserve">Mr </w:t>
      </w:r>
      <w:proofErr w:type="spellStart"/>
      <w:r w:rsidR="0022234B">
        <w:t>Akhmad</w:t>
      </w:r>
      <w:proofErr w:type="spellEnd"/>
      <w:r w:rsidR="0022234B">
        <w:t xml:space="preserve"> A., who </w:t>
      </w:r>
      <w:r w:rsidR="00A06AC8">
        <w:t>received</w:t>
      </w:r>
      <w:r w:rsidR="0022234B">
        <w:t xml:space="preserve"> temporary asylum in Russia and is married to a Russian national, </w:t>
      </w:r>
      <w:proofErr w:type="spellStart"/>
      <w:r w:rsidR="0022234B">
        <w:t>Albina</w:t>
      </w:r>
      <w:proofErr w:type="spellEnd"/>
      <w:r w:rsidR="0022234B">
        <w:t xml:space="preserve"> A.</w:t>
      </w:r>
    </w:p>
    <w:p w:rsidR="009E1BDD" w:rsidRDefault="00965E4D" w:rsidP="00DB6366">
      <w:pPr>
        <w:pStyle w:val="ECHRHeading2"/>
      </w:pPr>
      <w:r>
        <w:t>B.  </w:t>
      </w:r>
      <w:r w:rsidR="00DB6366">
        <w:t>The applicants</w:t>
      </w:r>
      <w:r w:rsidR="00BA3D89">
        <w:t>’</w:t>
      </w:r>
      <w:r w:rsidR="00DB6366">
        <w:t xml:space="preserve"> </w:t>
      </w:r>
      <w:r w:rsidR="001766CD">
        <w:t>arrest</w:t>
      </w:r>
      <w:r w:rsidR="00DB6366">
        <w:t xml:space="preserve"> and </w:t>
      </w:r>
      <w:r w:rsidR="001766CD">
        <w:t>expulsion</w:t>
      </w:r>
      <w:r w:rsidR="00DB6366">
        <w:t xml:space="preserve"> proceedings</w:t>
      </w:r>
    </w:p>
    <w:p w:rsidR="009E1BDD" w:rsidRDefault="00C94B3B" w:rsidP="00DC77AA">
      <w:pPr>
        <w:pStyle w:val="ECHRPara"/>
      </w:pPr>
      <w:r>
        <w:fldChar w:fldCharType="begin"/>
      </w:r>
      <w:r>
        <w:instrText xml:space="preserve"> SEQ level0 \*arabic </w:instrText>
      </w:r>
      <w:r>
        <w:fldChar w:fldCharType="separate"/>
      </w:r>
      <w:r w:rsidR="00D21AD2">
        <w:rPr>
          <w:noProof/>
        </w:rPr>
        <w:t>10</w:t>
      </w:r>
      <w:r>
        <w:fldChar w:fldCharType="end"/>
      </w:r>
      <w:r w:rsidR="00014566" w:rsidRPr="00062973">
        <w:t>.  </w:t>
      </w:r>
      <w:r w:rsidR="00DC77AA" w:rsidRPr="00DC77AA">
        <w:t xml:space="preserve">On 14 and 15 April 2014 </w:t>
      </w:r>
      <w:r w:rsidR="00DB6366">
        <w:t xml:space="preserve">(see </w:t>
      </w:r>
      <w:r w:rsidR="002E7DC9">
        <w:t>Appendix</w:t>
      </w:r>
      <w:r w:rsidR="00DB6366">
        <w:t xml:space="preserve">) </w:t>
      </w:r>
      <w:r w:rsidR="00DC77AA" w:rsidRPr="00DC77AA">
        <w:t>the</w:t>
      </w:r>
      <w:r w:rsidR="00DB6366">
        <w:t xml:space="preserve"> applicants</w:t>
      </w:r>
      <w:r w:rsidR="00DC77AA" w:rsidRPr="00DC77AA">
        <w:t xml:space="preserve"> were detained by the police and officers of the </w:t>
      </w:r>
      <w:r w:rsidR="005E3AF5">
        <w:t>FMS</w:t>
      </w:r>
      <w:r w:rsidR="00DC77AA" w:rsidRPr="00DC77AA">
        <w:t xml:space="preserve"> at a </w:t>
      </w:r>
      <w:r w:rsidR="00254C02">
        <w:t>clothing</w:t>
      </w:r>
      <w:r w:rsidR="00DC77AA" w:rsidRPr="00DC77AA">
        <w:t xml:space="preserve"> factory </w:t>
      </w:r>
      <w:r w:rsidR="008B4AF6">
        <w:t xml:space="preserve">in </w:t>
      </w:r>
      <w:proofErr w:type="spellStart"/>
      <w:r w:rsidR="00DC77AA" w:rsidRPr="00DC77AA">
        <w:t>Maloyaroslavets</w:t>
      </w:r>
      <w:proofErr w:type="spellEnd"/>
      <w:r w:rsidR="00DC77AA" w:rsidRPr="00DC77AA">
        <w:t>.</w:t>
      </w:r>
    </w:p>
    <w:bookmarkStart w:id="2" w:name="DistcCt"/>
    <w:p w:rsidR="00DC77AA" w:rsidRPr="00DC77AA" w:rsidRDefault="00DB6366" w:rsidP="00DC77AA">
      <w:pPr>
        <w:pStyle w:val="ECHRPara"/>
      </w:pPr>
      <w:r>
        <w:fldChar w:fldCharType="begin"/>
      </w:r>
      <w:r>
        <w:instrText xml:space="preserve"> SEQ level0 \*arabic </w:instrText>
      </w:r>
      <w:r>
        <w:fldChar w:fldCharType="separate"/>
      </w:r>
      <w:r w:rsidR="00D21AD2">
        <w:rPr>
          <w:noProof/>
        </w:rPr>
        <w:t>11</w:t>
      </w:r>
      <w:r>
        <w:fldChar w:fldCharType="end"/>
      </w:r>
      <w:bookmarkEnd w:id="2"/>
      <w:r>
        <w:t>.  </w:t>
      </w:r>
      <w:r w:rsidR="00DC77AA" w:rsidRPr="00DC77AA">
        <w:t xml:space="preserve">On 15 and 16 April 2014 </w:t>
      </w:r>
      <w:r w:rsidR="002E7DC9">
        <w:t>(see Appendix</w:t>
      </w:r>
      <w:r>
        <w:t xml:space="preserve">) </w:t>
      </w:r>
      <w:r w:rsidR="00DC77AA" w:rsidRPr="00DC77AA">
        <w:t xml:space="preserve">the </w:t>
      </w:r>
      <w:proofErr w:type="spellStart"/>
      <w:r w:rsidR="00DC77AA" w:rsidRPr="00DC77AA">
        <w:t>Maloyaroslavets</w:t>
      </w:r>
      <w:proofErr w:type="spellEnd"/>
      <w:r w:rsidR="00DC77AA" w:rsidRPr="00DC77AA">
        <w:t xml:space="preserve"> District Court </w:t>
      </w:r>
      <w:r w:rsidR="00723D8A">
        <w:t xml:space="preserve">(“the District Court”) </w:t>
      </w:r>
      <w:r w:rsidR="00DC77AA" w:rsidRPr="00DC77AA">
        <w:t>examined the applicants</w:t>
      </w:r>
      <w:r w:rsidR="00BA3D89">
        <w:t>’</w:t>
      </w:r>
      <w:r w:rsidR="00DC77AA" w:rsidRPr="00DC77AA">
        <w:t xml:space="preserve"> administrative files, found them guilty of administrative offences </w:t>
      </w:r>
      <w:r w:rsidR="008B4AF6">
        <w:t>(</w:t>
      </w:r>
      <w:r w:rsidR="00DC77AA" w:rsidRPr="00DC77AA">
        <w:t xml:space="preserve">breach of immigration rules and working without </w:t>
      </w:r>
      <w:r w:rsidR="008B4AF6">
        <w:t xml:space="preserve">a </w:t>
      </w:r>
      <w:r w:rsidR="00DC77AA" w:rsidRPr="00DC77AA">
        <w:t>permit</w:t>
      </w:r>
      <w:r w:rsidR="008B4AF6">
        <w:t>)</w:t>
      </w:r>
      <w:r w:rsidR="00DC77AA" w:rsidRPr="00DC77AA">
        <w:t xml:space="preserve"> and ordered the</w:t>
      </w:r>
      <w:r w:rsidR="008B4AF6">
        <w:t>m to</w:t>
      </w:r>
      <w:r w:rsidR="00DC77AA" w:rsidRPr="00DC77AA">
        <w:t xml:space="preserve"> pay fines</w:t>
      </w:r>
      <w:r w:rsidR="008B4AF6">
        <w:t xml:space="preserve"> of</w:t>
      </w:r>
      <w:r w:rsidR="00DC77AA" w:rsidRPr="00DC77AA">
        <w:t xml:space="preserve"> between 2,000 and 3,000 Russian roubles (RUB)</w:t>
      </w:r>
      <w:r w:rsidR="008B4AF6">
        <w:t xml:space="preserve"> and their </w:t>
      </w:r>
      <w:r w:rsidR="00DC77AA" w:rsidRPr="00DC77AA">
        <w:t xml:space="preserve">expulsion to Syria, in line with the procedure under </w:t>
      </w:r>
      <w:r w:rsidR="008B4AF6">
        <w:t xml:space="preserve">Article </w:t>
      </w:r>
      <w:r>
        <w:t>3.10 § </w:t>
      </w:r>
      <w:r w:rsidR="00DC77AA" w:rsidRPr="00DC77AA">
        <w:t xml:space="preserve">1 of the Code of Administrative </w:t>
      </w:r>
      <w:r w:rsidR="008B4AF6">
        <w:t>Offences</w:t>
      </w:r>
      <w:r w:rsidR="00DC77AA" w:rsidRPr="00DC77AA">
        <w:t xml:space="preserve">. </w:t>
      </w:r>
      <w:r w:rsidR="008B4AF6">
        <w:t>The</w:t>
      </w:r>
      <w:r w:rsidR="008B4AF6" w:rsidRPr="00DC77AA">
        <w:t xml:space="preserve"> </w:t>
      </w:r>
      <w:r w:rsidR="00DC77AA" w:rsidRPr="00DC77AA">
        <w:t>applicant</w:t>
      </w:r>
      <w:r w:rsidR="008B4AF6">
        <w:t>s all</w:t>
      </w:r>
      <w:r w:rsidR="00DC77AA" w:rsidRPr="00DC77AA">
        <w:t xml:space="preserve"> stated in court that </w:t>
      </w:r>
      <w:r w:rsidR="008B4AF6">
        <w:t>t</w:t>
      </w:r>
      <w:r w:rsidR="00DC77AA" w:rsidRPr="00DC77AA">
        <w:t>he</w:t>
      </w:r>
      <w:r w:rsidR="008B4AF6">
        <w:t>y</w:t>
      </w:r>
      <w:r w:rsidR="00DC77AA" w:rsidRPr="00DC77AA">
        <w:t xml:space="preserve"> feared for </w:t>
      </w:r>
      <w:r w:rsidR="008B4AF6">
        <w:t>their</w:t>
      </w:r>
      <w:r w:rsidR="008B4AF6" w:rsidRPr="00DC77AA">
        <w:t xml:space="preserve"> </w:t>
      </w:r>
      <w:r w:rsidR="00DC77AA" w:rsidRPr="00DC77AA">
        <w:t>li</w:t>
      </w:r>
      <w:r w:rsidR="008B4AF6">
        <w:t>v</w:t>
      </w:r>
      <w:r w:rsidR="00DC77AA" w:rsidRPr="00DC77AA">
        <w:t>e</w:t>
      </w:r>
      <w:r w:rsidR="008B4AF6">
        <w:t>s</w:t>
      </w:r>
      <w:r w:rsidR="00DC77AA" w:rsidRPr="00DC77AA">
        <w:t xml:space="preserve"> if returned to Syria and referred to information about the </w:t>
      </w:r>
      <w:proofErr w:type="spellStart"/>
      <w:r w:rsidR="00DC77AA" w:rsidRPr="00DC77AA">
        <w:t>ongoing</w:t>
      </w:r>
      <w:proofErr w:type="spellEnd"/>
      <w:r w:rsidR="00DC77AA" w:rsidRPr="00DC77AA">
        <w:t xml:space="preserve"> and widespread conflict there. The court found these statements to be general</w:t>
      </w:r>
      <w:r w:rsidR="008B4AF6">
        <w:t xml:space="preserve"> in</w:t>
      </w:r>
      <w:r w:rsidR="00DC77AA" w:rsidRPr="00DC77AA">
        <w:t xml:space="preserve"> nature and unsupported by any relevant evidence. </w:t>
      </w:r>
      <w:r w:rsidR="00243396">
        <w:t>The applicants also referred to the absence of work in Syria and the fact that in Russia they had been able to work illegally</w:t>
      </w:r>
      <w:r w:rsidR="006B307C">
        <w:t>. T</w:t>
      </w:r>
      <w:r w:rsidR="00243396">
        <w:t xml:space="preserve">he </w:t>
      </w:r>
      <w:r w:rsidR="006B307C">
        <w:t>D</w:t>
      </w:r>
      <w:r w:rsidR="00FC546F">
        <w:t xml:space="preserve">istrict </w:t>
      </w:r>
      <w:r w:rsidR="006B307C">
        <w:t>C</w:t>
      </w:r>
      <w:r w:rsidR="00243396">
        <w:t xml:space="preserve">ourt </w:t>
      </w:r>
      <w:r w:rsidR="006B307C">
        <w:t xml:space="preserve">then </w:t>
      </w:r>
      <w:r w:rsidR="00FC546F">
        <w:t>focus</w:t>
      </w:r>
      <w:r w:rsidR="006B307C">
        <w:t>ed</w:t>
      </w:r>
      <w:r w:rsidR="00FC546F">
        <w:t xml:space="preserve"> on the economic motives of their arrival and illegal stay. </w:t>
      </w:r>
      <w:r w:rsidR="00DC77AA" w:rsidRPr="00DC77AA">
        <w:t>Pending expulsion the court ordered the</w:t>
      </w:r>
      <w:r w:rsidR="006B307C">
        <w:t>ir</w:t>
      </w:r>
      <w:r w:rsidR="00DC77AA" w:rsidRPr="00DC77AA">
        <w:t xml:space="preserve"> detention at the detention centre.</w:t>
      </w:r>
    </w:p>
    <w:bookmarkStart w:id="3" w:name="RegCtAppeal"/>
    <w:p w:rsidR="009E1BDD" w:rsidRDefault="00DB6366" w:rsidP="00C30798">
      <w:pPr>
        <w:pStyle w:val="ECHRPara"/>
      </w:pPr>
      <w:r>
        <w:lastRenderedPageBreak/>
        <w:fldChar w:fldCharType="begin"/>
      </w:r>
      <w:r>
        <w:instrText xml:space="preserve"> SEQ level0 \*arabic </w:instrText>
      </w:r>
      <w:r>
        <w:fldChar w:fldCharType="separate"/>
      </w:r>
      <w:r w:rsidR="00D21AD2">
        <w:rPr>
          <w:noProof/>
        </w:rPr>
        <w:t>12</w:t>
      </w:r>
      <w:r>
        <w:fldChar w:fldCharType="end"/>
      </w:r>
      <w:bookmarkEnd w:id="3"/>
      <w:r>
        <w:t>.  </w:t>
      </w:r>
      <w:r w:rsidR="00DC77AA" w:rsidRPr="00DC77AA">
        <w:t xml:space="preserve">The lawyer representing the applicants before the Court </w:t>
      </w:r>
      <w:r w:rsidR="006B307C">
        <w:t>lodged</w:t>
      </w:r>
      <w:r w:rsidR="006B307C" w:rsidRPr="00DC77AA">
        <w:t xml:space="preserve"> </w:t>
      </w:r>
      <w:r w:rsidR="00DC77AA" w:rsidRPr="00DC77AA">
        <w:t xml:space="preserve">appeals for </w:t>
      </w:r>
      <w:r w:rsidR="00D66FB5">
        <w:t>all three of</w:t>
      </w:r>
      <w:r w:rsidR="00DC77AA" w:rsidRPr="00DC77AA">
        <w:t xml:space="preserve"> them, describing in detail the general situation in Syria</w:t>
      </w:r>
      <w:r w:rsidR="006B307C">
        <w:t xml:space="preserve"> and</w:t>
      </w:r>
      <w:r w:rsidR="00DC77AA" w:rsidRPr="00DC77AA">
        <w:t xml:space="preserve"> the danger of return</w:t>
      </w:r>
      <w:r w:rsidR="006B307C">
        <w:t>ing there,</w:t>
      </w:r>
      <w:r w:rsidR="00DC77AA" w:rsidRPr="00DC77AA">
        <w:t xml:space="preserve"> and </w:t>
      </w:r>
      <w:r w:rsidR="006B307C" w:rsidRPr="00DC77AA">
        <w:t>cit</w:t>
      </w:r>
      <w:r w:rsidR="006B307C">
        <w:t>ing</w:t>
      </w:r>
      <w:r w:rsidR="006B307C" w:rsidRPr="00DC77AA">
        <w:t xml:space="preserve"> </w:t>
      </w:r>
      <w:r w:rsidR="009E67D0">
        <w:t xml:space="preserve">and </w:t>
      </w:r>
      <w:r w:rsidR="006B307C">
        <w:t xml:space="preserve">attaching </w:t>
      </w:r>
      <w:r w:rsidR="00DC77AA" w:rsidRPr="00DC77AA">
        <w:t>the relevant country reports produced by the UNHCR and FMS. She also cited</w:t>
      </w:r>
      <w:r w:rsidR="006B307C">
        <w:t xml:space="preserve"> a </w:t>
      </w:r>
      <w:r w:rsidR="0004129E">
        <w:t xml:space="preserve">circular </w:t>
      </w:r>
      <w:r w:rsidR="00DC77AA" w:rsidRPr="00DC77AA">
        <w:t>letter issued by the Federal Bailiff Service on 30 August 2013</w:t>
      </w:r>
      <w:r w:rsidR="0004129E">
        <w:t xml:space="preserve"> to its regional branches</w:t>
      </w:r>
      <w:r w:rsidR="00DC77AA" w:rsidRPr="00DC77AA">
        <w:t xml:space="preserve">, according to which no entry was possible </w:t>
      </w:r>
      <w:r w:rsidR="00CE4174">
        <w:t>in</w:t>
      </w:r>
      <w:r w:rsidR="00DC77AA" w:rsidRPr="00DC77AA">
        <w:t xml:space="preserve">to </w:t>
      </w:r>
      <w:r w:rsidR="00CE4174" w:rsidRPr="00DC77AA">
        <w:t>Syria</w:t>
      </w:r>
      <w:r w:rsidR="00CE4174">
        <w:t>n</w:t>
      </w:r>
      <w:r w:rsidR="00CE4174" w:rsidRPr="00DC77AA">
        <w:t xml:space="preserve"> </w:t>
      </w:r>
      <w:r w:rsidR="00DC77AA" w:rsidRPr="00DC77AA">
        <w:t xml:space="preserve">territory in view of </w:t>
      </w:r>
      <w:r w:rsidR="00CE4174">
        <w:t xml:space="preserve">the </w:t>
      </w:r>
      <w:r w:rsidR="00DC77AA" w:rsidRPr="00DC77AA">
        <w:t>hostilities</w:t>
      </w:r>
      <w:r w:rsidR="0004129E">
        <w:t xml:space="preserve"> and problems </w:t>
      </w:r>
      <w:r w:rsidR="00AA4352">
        <w:t xml:space="preserve">that </w:t>
      </w:r>
      <w:r w:rsidR="00091388">
        <w:t xml:space="preserve">would arise </w:t>
      </w:r>
      <w:r w:rsidR="0004129E">
        <w:t xml:space="preserve">with the execution of court judgments ordering expulsion </w:t>
      </w:r>
      <w:r w:rsidR="00CE4174">
        <w:t>there</w:t>
      </w:r>
      <w:r w:rsidR="00DC77AA" w:rsidRPr="00DC77AA">
        <w:t>.</w:t>
      </w:r>
      <w:r w:rsidR="009E67D0">
        <w:t xml:space="preserve"> </w:t>
      </w:r>
      <w:r w:rsidR="00504B72">
        <w:t>The lawyer argued, in detail, that the decisions to expel the applicants could not be implemented; in such circumstances their detention lost any purpose and became indefinite.</w:t>
      </w:r>
      <w:r w:rsidR="00C30798">
        <w:t xml:space="preserve"> The lawyer further cited </w:t>
      </w:r>
      <w:r w:rsidR="007726BF">
        <w:t>a</w:t>
      </w:r>
      <w:r w:rsidR="00254C02">
        <w:t>n</w:t>
      </w:r>
      <w:r w:rsidR="007726BF">
        <w:t xml:space="preserve"> </w:t>
      </w:r>
      <w:r w:rsidR="00C30798">
        <w:t>FMS circular letter of 23 January 2013</w:t>
      </w:r>
      <w:r w:rsidR="007726BF">
        <w:t xml:space="preserve"> entitled</w:t>
      </w:r>
      <w:r w:rsidR="00C30798">
        <w:t xml:space="preserve"> </w:t>
      </w:r>
      <w:r w:rsidR="002704B1">
        <w:t>“</w:t>
      </w:r>
      <w:r w:rsidR="00C30798">
        <w:t>On the situation in Syria and the work with persons originating from Syria</w:t>
      </w:r>
      <w:r w:rsidR="002704B1">
        <w:t>”</w:t>
      </w:r>
      <w:r w:rsidR="00C30798">
        <w:t>, which stated that “in the current difficult political situation</w:t>
      </w:r>
      <w:r w:rsidR="00091388">
        <w:t>,</w:t>
      </w:r>
      <w:r w:rsidR="00C30798">
        <w:t xml:space="preserve"> when the Syrian authorities are unable to provide effective protection of </w:t>
      </w:r>
      <w:r w:rsidR="00091388">
        <w:t xml:space="preserve">their </w:t>
      </w:r>
      <w:r w:rsidR="00C30798">
        <w:t xml:space="preserve">citizens from </w:t>
      </w:r>
      <w:r w:rsidR="00091388">
        <w:t xml:space="preserve">the </w:t>
      </w:r>
      <w:r w:rsidR="00C30798">
        <w:t xml:space="preserve">illegal actions </w:t>
      </w:r>
      <w:r w:rsidR="00091388">
        <w:t xml:space="preserve">of the </w:t>
      </w:r>
      <w:r w:rsidR="00C30798">
        <w:t xml:space="preserve">armed opposition </w:t>
      </w:r>
      <w:r w:rsidR="009179EF">
        <w:t>...</w:t>
      </w:r>
      <w:r w:rsidR="00323EC8">
        <w:t xml:space="preserve"> </w:t>
      </w:r>
      <w:r w:rsidR="00C30798">
        <w:t>most of the applicants</w:t>
      </w:r>
      <w:r w:rsidR="00323EC8">
        <w:t xml:space="preserve"> </w:t>
      </w:r>
      <w:r w:rsidR="009179EF">
        <w:t>...</w:t>
      </w:r>
      <w:r w:rsidR="00C30798">
        <w:t xml:space="preserve"> </w:t>
      </w:r>
      <w:r w:rsidR="00091388">
        <w:t xml:space="preserve">have </w:t>
      </w:r>
      <w:r w:rsidR="00C30798">
        <w:t>fled the countr</w:t>
      </w:r>
      <w:r w:rsidR="002704B1">
        <w:t xml:space="preserve">y as a result of </w:t>
      </w:r>
      <w:r w:rsidR="00091388">
        <w:t xml:space="preserve">the </w:t>
      </w:r>
      <w:r w:rsidR="002704B1">
        <w:t xml:space="preserve">armed conflict. </w:t>
      </w:r>
      <w:r w:rsidR="009179EF">
        <w:t>...</w:t>
      </w:r>
      <w:r w:rsidR="00C30798">
        <w:t xml:space="preserve"> </w:t>
      </w:r>
      <w:proofErr w:type="gramStart"/>
      <w:r w:rsidR="00F04B53">
        <w:t>Individuals</w:t>
      </w:r>
      <w:proofErr w:type="gramEnd"/>
      <w:r w:rsidR="002704B1">
        <w:t xml:space="preserve"> who </w:t>
      </w:r>
      <w:r w:rsidR="00F04B53">
        <w:t>cannot</w:t>
      </w:r>
      <w:r w:rsidR="002704B1">
        <w:t xml:space="preserve"> not safely return </w:t>
      </w:r>
      <w:r w:rsidR="00F04B53">
        <w:t xml:space="preserve">[to Syria] and have a well-founded fear of ill-treatment, including torture, should be </w:t>
      </w:r>
      <w:r w:rsidR="00091388">
        <w:t>given</w:t>
      </w:r>
      <w:r w:rsidR="00F04B53">
        <w:t xml:space="preserve"> temporary asylum”. </w:t>
      </w:r>
      <w:r w:rsidR="009D1DDC">
        <w:t>The statements of appeal further referred to the fact that the applicants had sought asylum in Russia</w:t>
      </w:r>
      <w:r w:rsidR="00AA4352">
        <w:t>;</w:t>
      </w:r>
      <w:r w:rsidR="009D1DDC">
        <w:t xml:space="preserve"> their expulsion would</w:t>
      </w:r>
      <w:r w:rsidR="00091388">
        <w:t xml:space="preserve"> therefore</w:t>
      </w:r>
      <w:r w:rsidR="009D1DDC">
        <w:t xml:space="preserve"> be contrary to the relevant legislation. </w:t>
      </w:r>
      <w:r w:rsidR="00504B72">
        <w:t xml:space="preserve">The </w:t>
      </w:r>
      <w:r w:rsidR="009E67D0">
        <w:t xml:space="preserve">UNHCR </w:t>
      </w:r>
      <w:r w:rsidR="00504B72">
        <w:t>Office in Moscow produced a letter to the Kaluga Regional Court</w:t>
      </w:r>
      <w:r w:rsidR="00723D8A">
        <w:t xml:space="preserve"> (“the Regional Court”)</w:t>
      </w:r>
      <w:r w:rsidR="00504B72">
        <w:t xml:space="preserve"> in respect of L.</w:t>
      </w:r>
      <w:r w:rsidR="00225F9D">
        <w:t>M.</w:t>
      </w:r>
      <w:r w:rsidR="00504B72">
        <w:t xml:space="preserve">, </w:t>
      </w:r>
      <w:r w:rsidR="00AA4352">
        <w:t xml:space="preserve">reiterating </w:t>
      </w:r>
      <w:r w:rsidR="00303F31">
        <w:t xml:space="preserve">its </w:t>
      </w:r>
      <w:r w:rsidR="00504B72">
        <w:t xml:space="preserve">position in respect of returns to Syria and arguing that any decision </w:t>
      </w:r>
      <w:r w:rsidR="00303F31">
        <w:t xml:space="preserve">relating to </w:t>
      </w:r>
      <w:r w:rsidR="00504B72">
        <w:t xml:space="preserve">expulsion </w:t>
      </w:r>
      <w:r w:rsidR="00303F31">
        <w:t>there</w:t>
      </w:r>
      <w:r w:rsidR="00504B72">
        <w:t xml:space="preserve"> while </w:t>
      </w:r>
      <w:r w:rsidR="00303F31">
        <w:t xml:space="preserve">his </w:t>
      </w:r>
      <w:r w:rsidR="00504B72">
        <w:t xml:space="preserve">asylum request </w:t>
      </w:r>
      <w:r w:rsidR="00303F31">
        <w:t xml:space="preserve">was </w:t>
      </w:r>
      <w:r w:rsidR="00504B72">
        <w:t xml:space="preserve">pending would be in breach of domestic and international </w:t>
      </w:r>
      <w:r w:rsidR="00303F31">
        <w:t>legislation</w:t>
      </w:r>
      <w:r w:rsidR="00504B72">
        <w:t xml:space="preserve">. </w:t>
      </w:r>
      <w:r w:rsidR="0050383C">
        <w:t xml:space="preserve">Similar letters were produced in respect of </w:t>
      </w:r>
      <w:r w:rsidR="00F902F7">
        <w:t xml:space="preserve">the </w:t>
      </w:r>
      <w:r w:rsidR="0050383C">
        <w:t xml:space="preserve">two other applicants. </w:t>
      </w:r>
      <w:r w:rsidR="00106ABE">
        <w:t xml:space="preserve">The applicants also referred to a decision of the Leningrad Regional Court taken earlier in 2014 </w:t>
      </w:r>
      <w:r w:rsidR="00303F31">
        <w:t xml:space="preserve">relating to a Syrian national </w:t>
      </w:r>
      <w:r w:rsidR="00106ABE">
        <w:t xml:space="preserve">in a similar situation </w:t>
      </w:r>
      <w:r w:rsidR="00225F9D">
        <w:t xml:space="preserve">(see paragraph </w:t>
      </w:r>
      <w:r w:rsidR="00E83AD8">
        <w:rPr>
          <w:noProof/>
        </w:rPr>
        <w:t>72</w:t>
      </w:r>
      <w:r w:rsidR="00350024">
        <w:t xml:space="preserve"> </w:t>
      </w:r>
      <w:r w:rsidR="00106ABE">
        <w:t>below).</w:t>
      </w:r>
    </w:p>
    <w:bookmarkStart w:id="4" w:name="RegCtDecision"/>
    <w:p w:rsidR="00DC77AA" w:rsidRPr="00DC77AA" w:rsidRDefault="0004129E" w:rsidP="00DC77AA">
      <w:pPr>
        <w:pStyle w:val="ECHRPara"/>
      </w:pPr>
      <w:r>
        <w:fldChar w:fldCharType="begin"/>
      </w:r>
      <w:r>
        <w:instrText xml:space="preserve"> SEQ level0 \*arabic </w:instrText>
      </w:r>
      <w:r>
        <w:fldChar w:fldCharType="separate"/>
      </w:r>
      <w:r w:rsidR="00D21AD2">
        <w:rPr>
          <w:noProof/>
        </w:rPr>
        <w:t>13</w:t>
      </w:r>
      <w:r>
        <w:fldChar w:fldCharType="end"/>
      </w:r>
      <w:bookmarkEnd w:id="4"/>
      <w:r>
        <w:t>.  </w:t>
      </w:r>
      <w:r w:rsidR="00DC77AA" w:rsidRPr="00DC77AA">
        <w:t xml:space="preserve">The Kaluga Regional Court rejected all three appeals on 27 May 2014, following which the expulsion orders entered into force. </w:t>
      </w:r>
      <w:r w:rsidR="0002749F">
        <w:t>It</w:t>
      </w:r>
      <w:r w:rsidR="00DC77AA" w:rsidRPr="00DC77AA">
        <w:t xml:space="preserve"> </w:t>
      </w:r>
      <w:r w:rsidR="00A4075B">
        <w:t>stressed the applicants</w:t>
      </w:r>
      <w:r w:rsidR="00BA3D89">
        <w:t>’</w:t>
      </w:r>
      <w:r w:rsidR="00A4075B">
        <w:t xml:space="preserve"> illegal stay in Russia and their reference to economic difficulties</w:t>
      </w:r>
      <w:r w:rsidR="00303F31">
        <w:t xml:space="preserve"> as their reason</w:t>
      </w:r>
      <w:r w:rsidR="00A4075B">
        <w:t xml:space="preserve"> for departure from their home country. It </w:t>
      </w:r>
      <w:r w:rsidR="00DC77AA" w:rsidRPr="00DC77AA">
        <w:t>found that the alleg</w:t>
      </w:r>
      <w:r w:rsidR="001766CD">
        <w:t>ed danger to the applicants</w:t>
      </w:r>
      <w:r w:rsidR="00BA3D89">
        <w:t>’</w:t>
      </w:r>
      <w:r w:rsidR="001766CD">
        <w:t xml:space="preserve"> lives</w:t>
      </w:r>
      <w:r w:rsidR="00DC77AA" w:rsidRPr="00DC77AA">
        <w:t xml:space="preserve"> as a result of the </w:t>
      </w:r>
      <w:proofErr w:type="spellStart"/>
      <w:r w:rsidR="00DC77AA" w:rsidRPr="00DC77AA">
        <w:t>ongoing</w:t>
      </w:r>
      <w:proofErr w:type="spellEnd"/>
      <w:r w:rsidR="00DC77AA" w:rsidRPr="00DC77AA">
        <w:t xml:space="preserve"> conflict did not in itself constitute sufficient grounds to exclude expulsion in respect of </w:t>
      </w:r>
      <w:r w:rsidR="00407CA1">
        <w:t>those</w:t>
      </w:r>
      <w:r w:rsidR="00407CA1" w:rsidRPr="00DC77AA">
        <w:t xml:space="preserve"> </w:t>
      </w:r>
      <w:r w:rsidR="00DC77AA" w:rsidRPr="00DC77AA">
        <w:t>guilty of administrative offences in the sphere</w:t>
      </w:r>
      <w:r w:rsidR="00303F31">
        <w:t xml:space="preserve"> of</w:t>
      </w:r>
      <w:r w:rsidR="00303F31" w:rsidRPr="00303F31">
        <w:t xml:space="preserve"> </w:t>
      </w:r>
      <w:r w:rsidR="00303F31" w:rsidRPr="00DC77AA">
        <w:t>immigration</w:t>
      </w:r>
      <w:r w:rsidR="00DC77AA" w:rsidRPr="00DC77AA">
        <w:t>.</w:t>
      </w:r>
    </w:p>
    <w:bookmarkStart w:id="5" w:name="RegCtLMExpOrdr"/>
    <w:p w:rsidR="00DC77AA" w:rsidRDefault="001766CD" w:rsidP="00DC77AA">
      <w:pPr>
        <w:pStyle w:val="ECHRPara"/>
      </w:pPr>
      <w:r>
        <w:fldChar w:fldCharType="begin"/>
      </w:r>
      <w:r>
        <w:instrText xml:space="preserve"> SEQ level0 \*arabic </w:instrText>
      </w:r>
      <w:r>
        <w:fldChar w:fldCharType="separate"/>
      </w:r>
      <w:r w:rsidR="00D21AD2">
        <w:rPr>
          <w:noProof/>
        </w:rPr>
        <w:t>14</w:t>
      </w:r>
      <w:r>
        <w:fldChar w:fldCharType="end"/>
      </w:r>
      <w:bookmarkEnd w:id="5"/>
      <w:r>
        <w:t>.  </w:t>
      </w:r>
      <w:r w:rsidR="00A50F89">
        <w:t>In respect of L.</w:t>
      </w:r>
      <w:r w:rsidR="00DC77AA" w:rsidRPr="00DC77AA">
        <w:t xml:space="preserve">M., in a separate decision of the same date, the Regional Court refused to amend the expulsion order. The court noted that </w:t>
      </w:r>
      <w:r w:rsidR="00723D8A">
        <w:t>he</w:t>
      </w:r>
      <w:r w:rsidR="00DC77AA" w:rsidRPr="00DC77AA">
        <w:t xml:space="preserve"> had </w:t>
      </w:r>
      <w:r w:rsidR="00254C02">
        <w:t xml:space="preserve">not </w:t>
      </w:r>
      <w:r w:rsidR="00DC77AA" w:rsidRPr="00DC77AA">
        <w:t xml:space="preserve">applied for asylum in Russia </w:t>
      </w:r>
      <w:r w:rsidR="00254C02">
        <w:t>until</w:t>
      </w:r>
      <w:r w:rsidR="00DC77AA" w:rsidRPr="00DC77AA">
        <w:t xml:space="preserve"> 21 May 2014, </w:t>
      </w:r>
      <w:r w:rsidR="00723D8A">
        <w:t>a</w:t>
      </w:r>
      <w:r w:rsidR="00723D8A" w:rsidRPr="00DC77AA">
        <w:t xml:space="preserve"> </w:t>
      </w:r>
      <w:r w:rsidR="00DC77AA" w:rsidRPr="00DC77AA">
        <w:t>fact</w:t>
      </w:r>
      <w:r w:rsidR="00723D8A">
        <w:t xml:space="preserve"> which</w:t>
      </w:r>
      <w:r w:rsidR="00DC77AA" w:rsidRPr="00DC77AA">
        <w:t xml:space="preserve"> “did not affect the lawfulness of the decision taken by the District Court concerning the applicant</w:t>
      </w:r>
      <w:r w:rsidR="00BA3D89">
        <w:t>’</w:t>
      </w:r>
      <w:r w:rsidR="00DC77AA" w:rsidRPr="00DC77AA">
        <w:t>s administrative offence and expulsion”</w:t>
      </w:r>
      <w:r w:rsidR="00323EC8">
        <w:t>.</w:t>
      </w:r>
    </w:p>
    <w:bookmarkStart w:id="6" w:name="DistCtBailiff1"/>
    <w:p w:rsidR="009E1BDD" w:rsidRDefault="001766CD" w:rsidP="00DC77AA">
      <w:pPr>
        <w:pStyle w:val="ECHRPara"/>
      </w:pPr>
      <w:r>
        <w:fldChar w:fldCharType="begin"/>
      </w:r>
      <w:r>
        <w:instrText xml:space="preserve"> SEQ level0 \*arabic </w:instrText>
      </w:r>
      <w:r>
        <w:fldChar w:fldCharType="separate"/>
      </w:r>
      <w:r w:rsidR="00D21AD2">
        <w:rPr>
          <w:noProof/>
        </w:rPr>
        <w:t>15</w:t>
      </w:r>
      <w:r>
        <w:fldChar w:fldCharType="end"/>
      </w:r>
      <w:bookmarkEnd w:id="6"/>
      <w:r>
        <w:t xml:space="preserve">.  On 17 June 2014 the Kaluga Federal </w:t>
      </w:r>
      <w:r w:rsidR="00CE4174">
        <w:t>Bailiff</w:t>
      </w:r>
      <w:r>
        <w:t xml:space="preserve"> Service </w:t>
      </w:r>
      <w:r w:rsidR="004D511D">
        <w:t>asked</w:t>
      </w:r>
      <w:r>
        <w:t xml:space="preserve"> the District Court</w:t>
      </w:r>
      <w:r w:rsidR="0002749F">
        <w:t xml:space="preserve"> </w:t>
      </w:r>
      <w:r w:rsidR="004D511D">
        <w:t>to</w:t>
      </w:r>
      <w:r>
        <w:t xml:space="preserve"> stay execution in respect of </w:t>
      </w:r>
      <w:r w:rsidR="00807B20">
        <w:t>M.A</w:t>
      </w:r>
      <w:r>
        <w:t>.</w:t>
      </w:r>
      <w:r w:rsidR="00723D8A">
        <w:t xml:space="preserve">, </w:t>
      </w:r>
      <w:r>
        <w:t>point</w:t>
      </w:r>
      <w:r w:rsidR="00723D8A">
        <w:t>ing</w:t>
      </w:r>
      <w:r>
        <w:t xml:space="preserve"> out that the European </w:t>
      </w:r>
      <w:r w:rsidR="00067956">
        <w:t xml:space="preserve">Court </w:t>
      </w:r>
      <w:r w:rsidR="00723D8A">
        <w:t xml:space="preserve">of Human Rights </w:t>
      </w:r>
      <w:r w:rsidR="00067956">
        <w:t>had</w:t>
      </w:r>
      <w:r w:rsidR="004D511D">
        <w:t xml:space="preserve"> applied Rule 39 and</w:t>
      </w:r>
      <w:r w:rsidR="0002749F">
        <w:t xml:space="preserve"> therefore</w:t>
      </w:r>
      <w:r w:rsidR="004D511D">
        <w:t xml:space="preserve"> the </w:t>
      </w:r>
      <w:r w:rsidR="004D511D">
        <w:lastRenderedPageBreak/>
        <w:t>ex</w:t>
      </w:r>
      <w:r w:rsidR="00093BE7">
        <w:t>pulsion</w:t>
      </w:r>
      <w:r w:rsidR="004D511D">
        <w:t xml:space="preserve"> could not be carried out at </w:t>
      </w:r>
      <w:r w:rsidR="00093BE7">
        <w:t>that time</w:t>
      </w:r>
      <w:r w:rsidR="004D511D">
        <w:t xml:space="preserve">. On 30 June 2014 the District Court found that the </w:t>
      </w:r>
      <w:r w:rsidR="004D511D" w:rsidRPr="00DC77AA">
        <w:t xml:space="preserve">Code of Administrative </w:t>
      </w:r>
      <w:r w:rsidR="004751B6">
        <w:t xml:space="preserve">Offences </w:t>
      </w:r>
      <w:r w:rsidR="004D511D">
        <w:t xml:space="preserve">did not </w:t>
      </w:r>
      <w:r w:rsidR="00067956">
        <w:t>provide for</w:t>
      </w:r>
      <w:r w:rsidR="004D511D">
        <w:t xml:space="preserve"> stay</w:t>
      </w:r>
      <w:r w:rsidR="0097441D">
        <w:t>s</w:t>
      </w:r>
      <w:r w:rsidR="004D511D">
        <w:t xml:space="preserve"> of expulsion as opposed to the payment of fines and dismissed the request.</w:t>
      </w:r>
    </w:p>
    <w:bookmarkStart w:id="7" w:name="DistCtBailiff2"/>
    <w:p w:rsidR="009E1BDD" w:rsidRDefault="00F86F1B" w:rsidP="00DC77AA">
      <w:pPr>
        <w:pStyle w:val="ECHRPara"/>
      </w:pPr>
      <w:r>
        <w:fldChar w:fldCharType="begin"/>
      </w:r>
      <w:r>
        <w:instrText xml:space="preserve"> SEQ level0 \*arabic </w:instrText>
      </w:r>
      <w:r>
        <w:fldChar w:fldCharType="separate"/>
      </w:r>
      <w:r w:rsidR="00D21AD2">
        <w:rPr>
          <w:noProof/>
        </w:rPr>
        <w:t>16</w:t>
      </w:r>
      <w:r>
        <w:fldChar w:fldCharType="end"/>
      </w:r>
      <w:bookmarkEnd w:id="7"/>
      <w:r>
        <w:t xml:space="preserve">.  On 4 July 2014 the District Court issued a similar decision in respect of L.M., pursuant to </w:t>
      </w:r>
      <w:r w:rsidR="0002749F">
        <w:t>a request by the</w:t>
      </w:r>
      <w:r>
        <w:t xml:space="preserve"> Bailiff Service </w:t>
      </w:r>
      <w:r w:rsidR="0002749F">
        <w:t>on</w:t>
      </w:r>
      <w:r>
        <w:t xml:space="preserve"> 1 July 2014. None of the parties were present at the hearing, including L.M.</w:t>
      </w:r>
    </w:p>
    <w:bookmarkStart w:id="8" w:name="DistCtBailiff3"/>
    <w:p w:rsidR="009E1BDD" w:rsidRDefault="004D511D" w:rsidP="00DC77AA">
      <w:pPr>
        <w:pStyle w:val="ECHRPara"/>
      </w:pPr>
      <w:r>
        <w:fldChar w:fldCharType="begin"/>
      </w:r>
      <w:r>
        <w:instrText xml:space="preserve"> SEQ level0 \*arabic </w:instrText>
      </w:r>
      <w:r>
        <w:fldChar w:fldCharType="separate"/>
      </w:r>
      <w:r w:rsidR="00D21AD2">
        <w:rPr>
          <w:noProof/>
        </w:rPr>
        <w:t>17</w:t>
      </w:r>
      <w:r>
        <w:fldChar w:fldCharType="end"/>
      </w:r>
      <w:bookmarkEnd w:id="8"/>
      <w:r>
        <w:t>.  </w:t>
      </w:r>
      <w:r w:rsidR="004751B6">
        <w:t>I</w:t>
      </w:r>
      <w:r>
        <w:t xml:space="preserve">t appears from the letter of 8 July 2014 sent by the Kaluga Federal </w:t>
      </w:r>
      <w:r w:rsidR="00CE4174">
        <w:t>Bailiff</w:t>
      </w:r>
      <w:r>
        <w:t xml:space="preserve"> Service to the applicants</w:t>
      </w:r>
      <w:r w:rsidR="00BA3D89">
        <w:t>’</w:t>
      </w:r>
      <w:r>
        <w:t xml:space="preserve"> lawyer</w:t>
      </w:r>
      <w:r w:rsidR="004751B6">
        <w:t xml:space="preserve"> that</w:t>
      </w:r>
      <w:r w:rsidR="00B14FAF">
        <w:t xml:space="preserve"> it was unaware</w:t>
      </w:r>
      <w:r>
        <w:t xml:space="preserve"> at that date of the District Court</w:t>
      </w:r>
      <w:r w:rsidR="00BA3D89">
        <w:t>’</w:t>
      </w:r>
      <w:r>
        <w:t>s decision</w:t>
      </w:r>
      <w:r w:rsidR="00504B72">
        <w:t>s</w:t>
      </w:r>
      <w:r>
        <w:t xml:space="preserve">. </w:t>
      </w:r>
      <w:r w:rsidR="00AE4A81">
        <w:t xml:space="preserve">From the same letter it appears that </w:t>
      </w:r>
      <w:r w:rsidR="00B14FAF">
        <w:t xml:space="preserve">a </w:t>
      </w:r>
      <w:r w:rsidR="00AE4A81">
        <w:t xml:space="preserve">similar request </w:t>
      </w:r>
      <w:r w:rsidR="00B14FAF">
        <w:t xml:space="preserve">had been made </w:t>
      </w:r>
      <w:r w:rsidR="00AE4A81">
        <w:t xml:space="preserve">for </w:t>
      </w:r>
      <w:r w:rsidR="00B14FAF">
        <w:t>a</w:t>
      </w:r>
      <w:r w:rsidR="00AE4A81">
        <w:t xml:space="preserve"> stay of execution in respect of </w:t>
      </w:r>
      <w:r w:rsidR="00504B72">
        <w:t>A.A.</w:t>
      </w:r>
    </w:p>
    <w:p w:rsidR="009E1BDD" w:rsidRDefault="00965E4D" w:rsidP="001766CD">
      <w:pPr>
        <w:pStyle w:val="ECHRHeading2"/>
      </w:pPr>
      <w:r>
        <w:t>C.  </w:t>
      </w:r>
      <w:r w:rsidR="007E7033">
        <w:t>A.A.</w:t>
      </w:r>
      <w:r w:rsidR="00BA3D89">
        <w:t>’</w:t>
      </w:r>
      <w:r w:rsidR="004751B6">
        <w:t>s</w:t>
      </w:r>
      <w:r w:rsidR="007E7033">
        <w:t xml:space="preserve"> escape</w:t>
      </w:r>
    </w:p>
    <w:p w:rsidR="009E1BDD" w:rsidRDefault="00AE4A81" w:rsidP="001766CD">
      <w:pPr>
        <w:pStyle w:val="ECHRPara"/>
      </w:pPr>
      <w:r>
        <w:fldChar w:fldCharType="begin"/>
      </w:r>
      <w:r>
        <w:instrText xml:space="preserve"> SEQ level0 \*arabic </w:instrText>
      </w:r>
      <w:r>
        <w:fldChar w:fldCharType="separate"/>
      </w:r>
      <w:r w:rsidR="00D21AD2">
        <w:rPr>
          <w:noProof/>
        </w:rPr>
        <w:t>18</w:t>
      </w:r>
      <w:r>
        <w:fldChar w:fldCharType="end"/>
      </w:r>
      <w:r>
        <w:t>.  </w:t>
      </w:r>
      <w:r w:rsidR="007E7033">
        <w:t xml:space="preserve">Since 15 and 16 April 2014 the applicants </w:t>
      </w:r>
      <w:r w:rsidR="004751B6">
        <w:t xml:space="preserve">have been </w:t>
      </w:r>
      <w:r w:rsidR="007E7033">
        <w:t>detained at the detention centre.</w:t>
      </w:r>
    </w:p>
    <w:p w:rsidR="0069708D" w:rsidRDefault="007E7033" w:rsidP="001766CD">
      <w:pPr>
        <w:pStyle w:val="ECHRPara"/>
      </w:pPr>
      <w:r>
        <w:fldChar w:fldCharType="begin"/>
      </w:r>
      <w:r>
        <w:instrText xml:space="preserve"> SEQ level0 \*arabic </w:instrText>
      </w:r>
      <w:r>
        <w:fldChar w:fldCharType="separate"/>
      </w:r>
      <w:r w:rsidR="00D21AD2">
        <w:rPr>
          <w:noProof/>
        </w:rPr>
        <w:t>19</w:t>
      </w:r>
      <w:r>
        <w:fldChar w:fldCharType="end"/>
      </w:r>
      <w:r>
        <w:t xml:space="preserve">.  According to the </w:t>
      </w:r>
      <w:r w:rsidR="00F34C8B">
        <w:t>Government</w:t>
      </w:r>
      <w:r w:rsidR="00BA3D89">
        <w:t>’</w:t>
      </w:r>
      <w:r w:rsidR="00F34C8B">
        <w:t>s</w:t>
      </w:r>
      <w:r>
        <w:t xml:space="preserve"> observations received in </w:t>
      </w:r>
      <w:r w:rsidR="00401698">
        <w:t xml:space="preserve">December 2014, </w:t>
      </w:r>
      <w:r w:rsidR="0069708D">
        <w:t xml:space="preserve">A.A. escaped on 25 August 2014. An internal report was prepared by the head of the Kaluga FMS the same day, describing the </w:t>
      </w:r>
      <w:r w:rsidR="00BF10CB">
        <w:t>events</w:t>
      </w:r>
      <w:r w:rsidR="0069708D">
        <w:t xml:space="preserve"> as follows:</w:t>
      </w:r>
    </w:p>
    <w:p w:rsidR="009E1BDD" w:rsidRDefault="0069708D" w:rsidP="0069708D">
      <w:pPr>
        <w:pStyle w:val="ECHRParaQuote"/>
      </w:pPr>
      <w:r>
        <w:t>“</w:t>
      </w:r>
      <w:r w:rsidR="00D9362F">
        <w:t>In the early hours of 25</w:t>
      </w:r>
      <w:r>
        <w:t xml:space="preserve"> August 2014</w:t>
      </w:r>
      <w:r w:rsidR="00D9362F">
        <w:t>,</w:t>
      </w:r>
      <w:r>
        <w:t xml:space="preserve"> between 3 and 4 a.m.</w:t>
      </w:r>
      <w:r w:rsidR="00D9362F">
        <w:t>,</w:t>
      </w:r>
      <w:r>
        <w:t xml:space="preserve"> a group of </w:t>
      </w:r>
      <w:r w:rsidR="00B54A72">
        <w:t xml:space="preserve">foreign nationals and stateless </w:t>
      </w:r>
      <w:r w:rsidR="00CB5FAE">
        <w:t xml:space="preserve">people </w:t>
      </w:r>
      <w:r>
        <w:t xml:space="preserve">detained pending administrative deportation </w:t>
      </w:r>
      <w:r w:rsidR="00B14FAF">
        <w:t>from</w:t>
      </w:r>
      <w:r w:rsidR="00B54A72">
        <w:t xml:space="preserve"> the [detention centre] </w:t>
      </w:r>
      <w:r w:rsidR="00BF10CB">
        <w:t>escaped from the premises</w:t>
      </w:r>
      <w:r w:rsidR="00323EC8">
        <w:t xml:space="preserve"> </w:t>
      </w:r>
      <w:r w:rsidR="009179EF">
        <w:t>...</w:t>
      </w:r>
      <w:r w:rsidR="00B54A72">
        <w:t xml:space="preserve"> The group included </w:t>
      </w:r>
      <w:r w:rsidR="009179EF">
        <w:t>...</w:t>
      </w:r>
      <w:r w:rsidR="00B54A72">
        <w:t xml:space="preserve"> [</w:t>
      </w:r>
      <w:r w:rsidR="004202F0">
        <w:t>A</w:t>
      </w:r>
      <w:r w:rsidR="00B54A72">
        <w:t>.</w:t>
      </w:r>
      <w:r w:rsidR="00807B20">
        <w:t>A.</w:t>
      </w:r>
      <w:r w:rsidR="00B54A72">
        <w:t xml:space="preserve">], </w:t>
      </w:r>
      <w:r w:rsidR="00CB5FAE">
        <w:t xml:space="preserve">a </w:t>
      </w:r>
      <w:r w:rsidR="00B54A72">
        <w:t>Syrian national, born on 15 January 1987</w:t>
      </w:r>
      <w:r w:rsidR="00323EC8">
        <w:t xml:space="preserve"> </w:t>
      </w:r>
      <w:r w:rsidR="009179EF">
        <w:t>...</w:t>
      </w:r>
      <w:r w:rsidR="00B54A72">
        <w:t xml:space="preserve"> </w:t>
      </w:r>
      <w:r w:rsidR="00CB5FAE">
        <w:t>An investigation</w:t>
      </w:r>
      <w:r w:rsidR="00B9280E">
        <w:t xml:space="preserve"> has</w:t>
      </w:r>
      <w:r w:rsidR="00B54A72">
        <w:t xml:space="preserve"> established that the </w:t>
      </w:r>
      <w:r w:rsidR="00CB5FAE">
        <w:t xml:space="preserve">people </w:t>
      </w:r>
      <w:r w:rsidR="00B54A72">
        <w:t>used a</w:t>
      </w:r>
      <w:r w:rsidR="00CB5FAE">
        <w:t>n</w:t>
      </w:r>
      <w:r w:rsidR="00B54A72">
        <w:t xml:space="preserve"> unfinished ventilation shaft located between the ground and first floors of the building. Having reached the first floor, the </w:t>
      </w:r>
      <w:r w:rsidR="00CB5FAE">
        <w:t xml:space="preserve">people </w:t>
      </w:r>
      <w:r w:rsidR="00B54A72">
        <w:t xml:space="preserve">jumped out of the window </w:t>
      </w:r>
      <w:r w:rsidR="00CB5FAE">
        <w:t>on</w:t>
      </w:r>
      <w:r w:rsidR="00B54A72">
        <w:t xml:space="preserve">to </w:t>
      </w:r>
      <w:r w:rsidR="00CB5FAE">
        <w:t xml:space="preserve">a </w:t>
      </w:r>
      <w:r w:rsidR="005C61C4">
        <w:t xml:space="preserve">pile of </w:t>
      </w:r>
      <w:r w:rsidR="00B54A72">
        <w:t xml:space="preserve">construction </w:t>
      </w:r>
      <w:r w:rsidR="005C61C4">
        <w:t>rubbish and</w:t>
      </w:r>
      <w:r w:rsidR="00CB5FAE">
        <w:t>,</w:t>
      </w:r>
      <w:r w:rsidR="005C61C4">
        <w:t xml:space="preserve"> having covered the surveillance devices </w:t>
      </w:r>
      <w:r w:rsidR="009179EF">
        <w:t>...</w:t>
      </w:r>
      <w:r w:rsidR="005C61C4">
        <w:t xml:space="preserve"> with a blanket, left the </w:t>
      </w:r>
      <w:r w:rsidR="00CB5FAE">
        <w:t xml:space="preserve">grounds </w:t>
      </w:r>
      <w:r w:rsidR="005C61C4">
        <w:t xml:space="preserve">of the centre with the </w:t>
      </w:r>
      <w:r w:rsidR="00CB5FAE">
        <w:t xml:space="preserve">aid </w:t>
      </w:r>
      <w:r w:rsidR="005C61C4">
        <w:t>of construction materials stored in the courtyard.</w:t>
      </w:r>
    </w:p>
    <w:p w:rsidR="009E1BDD" w:rsidRDefault="005C61C4" w:rsidP="0069708D">
      <w:pPr>
        <w:pStyle w:val="ECHRParaQuote"/>
      </w:pPr>
      <w:r>
        <w:t xml:space="preserve">The exact circumstances of the escape are being established. An internal </w:t>
      </w:r>
      <w:r w:rsidR="00CB5FAE">
        <w:t xml:space="preserve">investigation </w:t>
      </w:r>
      <w:r>
        <w:t xml:space="preserve">is being held in respect of the staff who had allowed </w:t>
      </w:r>
      <w:r w:rsidR="00CB5FAE">
        <w:t xml:space="preserve">the </w:t>
      </w:r>
      <w:r>
        <w:t>seven foreign nationals to escape.</w:t>
      </w:r>
    </w:p>
    <w:p w:rsidR="009E1BDD" w:rsidRDefault="005C61C4" w:rsidP="0069708D">
      <w:pPr>
        <w:pStyle w:val="ECHRParaQuote"/>
      </w:pPr>
      <w:r>
        <w:t xml:space="preserve">The local police have been </w:t>
      </w:r>
      <w:r w:rsidR="00CB5FAE">
        <w:t xml:space="preserve">told </w:t>
      </w:r>
      <w:r>
        <w:t>to organise</w:t>
      </w:r>
      <w:r w:rsidR="00CB5FAE">
        <w:t xml:space="preserve"> a</w:t>
      </w:r>
      <w:r>
        <w:t xml:space="preserve"> search </w:t>
      </w:r>
      <w:r w:rsidR="00CB5FAE">
        <w:t xml:space="preserve">for </w:t>
      </w:r>
      <w:r>
        <w:t xml:space="preserve">the </w:t>
      </w:r>
      <w:r w:rsidR="00CB5FAE">
        <w:t xml:space="preserve">people </w:t>
      </w:r>
      <w:r>
        <w:t xml:space="preserve">who </w:t>
      </w:r>
      <w:r w:rsidR="00B9280E">
        <w:t xml:space="preserve">have </w:t>
      </w:r>
      <w:r>
        <w:t>escaped</w:t>
      </w:r>
      <w:r w:rsidR="00CB5FAE">
        <w:t>.</w:t>
      </w:r>
      <w:r>
        <w:t>”</w:t>
      </w:r>
    </w:p>
    <w:p w:rsidR="009E1BDD" w:rsidRDefault="007E7033" w:rsidP="001766CD">
      <w:pPr>
        <w:pStyle w:val="ECHRPara"/>
      </w:pPr>
      <w:r>
        <w:fldChar w:fldCharType="begin"/>
      </w:r>
      <w:r>
        <w:instrText xml:space="preserve"> SEQ level0 \*arabic </w:instrText>
      </w:r>
      <w:r>
        <w:fldChar w:fldCharType="separate"/>
      </w:r>
      <w:r w:rsidR="00D21AD2">
        <w:rPr>
          <w:noProof/>
        </w:rPr>
        <w:t>20</w:t>
      </w:r>
      <w:r>
        <w:fldChar w:fldCharType="end"/>
      </w:r>
      <w:r>
        <w:t xml:space="preserve">.  The </w:t>
      </w:r>
      <w:r w:rsidR="00763C7D">
        <w:t>applicants</w:t>
      </w:r>
      <w:r w:rsidR="00BA3D89">
        <w:t>’</w:t>
      </w:r>
      <w:r w:rsidR="00763C7D">
        <w:t xml:space="preserve"> representative claimed to have had no knowledge of th</w:t>
      </w:r>
      <w:r w:rsidR="00B9280E">
        <w:t>e</w:t>
      </w:r>
      <w:r w:rsidR="00763C7D">
        <w:t xml:space="preserve"> escape prior to receiving the </w:t>
      </w:r>
      <w:r w:rsidR="00F34C8B">
        <w:t>Government</w:t>
      </w:r>
      <w:r w:rsidR="00BA3D89">
        <w:t>’</w:t>
      </w:r>
      <w:r w:rsidR="00F34C8B">
        <w:t>s</w:t>
      </w:r>
      <w:r w:rsidR="00763C7D">
        <w:t xml:space="preserve"> observations</w:t>
      </w:r>
      <w:r w:rsidR="00B9280E">
        <w:t>,</w:t>
      </w:r>
      <w:r w:rsidR="00763C7D">
        <w:t xml:space="preserve"> </w:t>
      </w:r>
      <w:r w:rsidR="00B9280E">
        <w:t xml:space="preserve">expressing </w:t>
      </w:r>
      <w:r w:rsidR="00763C7D">
        <w:t xml:space="preserve">her </w:t>
      </w:r>
      <w:r w:rsidR="00BF10CB">
        <w:t xml:space="preserve">concern that </w:t>
      </w:r>
      <w:r w:rsidR="00B9280E">
        <w:t>they</w:t>
      </w:r>
      <w:r w:rsidR="00BF10CB">
        <w:t xml:space="preserve"> had</w:t>
      </w:r>
      <w:r w:rsidR="00763C7D">
        <w:t xml:space="preserve"> not submitted </w:t>
      </w:r>
      <w:r w:rsidR="00B9280E">
        <w:t xml:space="preserve">the </w:t>
      </w:r>
      <w:r w:rsidR="00763C7D">
        <w:t>information earlier,</w:t>
      </w:r>
      <w:r w:rsidR="00B9280E">
        <w:t xml:space="preserve"> for example</w:t>
      </w:r>
      <w:r w:rsidR="00763C7D">
        <w:t xml:space="preserve"> when</w:t>
      </w:r>
      <w:r w:rsidR="00B9280E">
        <w:t xml:space="preserve"> making</w:t>
      </w:r>
      <w:r w:rsidR="00763C7D">
        <w:t xml:space="preserve"> their observations of 2 September 2014.</w:t>
      </w:r>
    </w:p>
    <w:p w:rsidR="009E1BDD" w:rsidRDefault="00763C7D" w:rsidP="001766CD">
      <w:pPr>
        <w:pStyle w:val="ECHRPara"/>
      </w:pPr>
      <w:r>
        <w:fldChar w:fldCharType="begin"/>
      </w:r>
      <w:r>
        <w:instrText xml:space="preserve"> SEQ level0 \*arabic </w:instrText>
      </w:r>
      <w:r>
        <w:fldChar w:fldCharType="separate"/>
      </w:r>
      <w:r w:rsidR="00D21AD2">
        <w:rPr>
          <w:noProof/>
        </w:rPr>
        <w:t>21</w:t>
      </w:r>
      <w:r>
        <w:fldChar w:fldCharType="end"/>
      </w:r>
      <w:r>
        <w:t>.  </w:t>
      </w:r>
      <w:r w:rsidR="00B14FAF">
        <w:t>In reply</w:t>
      </w:r>
      <w:r>
        <w:t xml:space="preserve"> to the Court</w:t>
      </w:r>
      <w:r w:rsidR="00BA3D89">
        <w:t>’</w:t>
      </w:r>
      <w:r>
        <w:t>s further question</w:t>
      </w:r>
      <w:r w:rsidR="00B9280E">
        <w:t>s</w:t>
      </w:r>
      <w:r>
        <w:t xml:space="preserve"> in this </w:t>
      </w:r>
      <w:r w:rsidR="00B9280E">
        <w:t>regard</w:t>
      </w:r>
      <w:r>
        <w:t xml:space="preserve">, in their observations of 24 </w:t>
      </w:r>
      <w:r w:rsidR="0071734C">
        <w:t>April</w:t>
      </w:r>
      <w:r>
        <w:t xml:space="preserve"> 2015 the Government explained that no administrative or criminal proceedings had been initiated</w:t>
      </w:r>
      <w:r w:rsidR="00B9280E">
        <w:t>,</w:t>
      </w:r>
      <w:r>
        <w:t xml:space="preserve"> as </w:t>
      </w:r>
      <w:r w:rsidR="00B9280E">
        <w:t xml:space="preserve">an </w:t>
      </w:r>
      <w:r>
        <w:t xml:space="preserve">escape from </w:t>
      </w:r>
      <w:r w:rsidR="00B9280E">
        <w:t xml:space="preserve">a </w:t>
      </w:r>
      <w:r>
        <w:t xml:space="preserve">detention centre for </w:t>
      </w:r>
      <w:r w:rsidR="00B9280E">
        <w:t xml:space="preserve">foreign nationals </w:t>
      </w:r>
      <w:r>
        <w:t xml:space="preserve">pending deportation </w:t>
      </w:r>
      <w:r w:rsidR="00B9280E">
        <w:t xml:space="preserve">was </w:t>
      </w:r>
      <w:r>
        <w:t xml:space="preserve">not an offence under any </w:t>
      </w:r>
      <w:r w:rsidR="00B9280E">
        <w:t>legislation</w:t>
      </w:r>
      <w:r>
        <w:t xml:space="preserve">. While the police continued to search for the detainees, their whereabouts, including </w:t>
      </w:r>
      <w:r w:rsidR="00B9280E">
        <w:t xml:space="preserve">those </w:t>
      </w:r>
      <w:r>
        <w:t>of A.A., remained unknown.</w:t>
      </w:r>
    </w:p>
    <w:p w:rsidR="009E1BDD" w:rsidRDefault="00763C7D" w:rsidP="001766CD">
      <w:pPr>
        <w:pStyle w:val="ECHRPara"/>
      </w:pPr>
      <w:r>
        <w:lastRenderedPageBreak/>
        <w:fldChar w:fldCharType="begin"/>
      </w:r>
      <w:r>
        <w:instrText xml:space="preserve"> SEQ level0 \*arabic </w:instrText>
      </w:r>
      <w:r>
        <w:fldChar w:fldCharType="separate"/>
      </w:r>
      <w:r w:rsidR="00D21AD2">
        <w:rPr>
          <w:noProof/>
        </w:rPr>
        <w:t>22</w:t>
      </w:r>
      <w:r>
        <w:fldChar w:fldCharType="end"/>
      </w:r>
      <w:r>
        <w:t>.  </w:t>
      </w:r>
      <w:r w:rsidR="008A543E">
        <w:t xml:space="preserve">The Government </w:t>
      </w:r>
      <w:r>
        <w:t xml:space="preserve">further </w:t>
      </w:r>
      <w:r w:rsidR="008A543E">
        <w:t>submitted that since their observations had been based on the replies of the competent State authorities prepared on 4</w:t>
      </w:r>
      <w:r w:rsidR="00965E4D">
        <w:t> </w:t>
      </w:r>
      <w:r w:rsidR="008A543E">
        <w:t>and 8 August 2014, no information about A.A.</w:t>
      </w:r>
      <w:r w:rsidR="00BA3D89">
        <w:t>’</w:t>
      </w:r>
      <w:r w:rsidR="008A543E">
        <w:t xml:space="preserve">s escape had been provided at that stage. They also submitted that the detention centre </w:t>
      </w:r>
      <w:r w:rsidR="00B14FAF">
        <w:t>had been</w:t>
      </w:r>
      <w:r w:rsidR="008A543E">
        <w:t xml:space="preserve"> under no obligation to inform detainees</w:t>
      </w:r>
      <w:r w:rsidR="00BA3D89">
        <w:t>’</w:t>
      </w:r>
      <w:r w:rsidR="008A543E">
        <w:t xml:space="preserve"> representatives of the escape</w:t>
      </w:r>
      <w:r w:rsidR="00B9280E">
        <w:t>,</w:t>
      </w:r>
      <w:r w:rsidR="008A543E">
        <w:t xml:space="preserve"> </w:t>
      </w:r>
      <w:r w:rsidR="00B9280E">
        <w:t xml:space="preserve">hence why </w:t>
      </w:r>
      <w:r w:rsidR="00080ABB">
        <w:t>it</w:t>
      </w:r>
      <w:r w:rsidR="00B9280E">
        <w:t xml:space="preserve"> </w:t>
      </w:r>
      <w:r w:rsidR="00B14FAF">
        <w:t xml:space="preserve">had </w:t>
      </w:r>
      <w:r w:rsidR="008A543E">
        <w:t>not do</w:t>
      </w:r>
      <w:r w:rsidR="00B14FAF">
        <w:t>ne</w:t>
      </w:r>
      <w:r w:rsidR="008A543E">
        <w:t xml:space="preserve"> so in A.A.</w:t>
      </w:r>
      <w:r w:rsidR="00BA3D89">
        <w:t>’</w:t>
      </w:r>
      <w:r w:rsidR="008A543E">
        <w:t>s case.</w:t>
      </w:r>
    </w:p>
    <w:p w:rsidR="009E1BDD" w:rsidRDefault="0071734C" w:rsidP="001766CD">
      <w:pPr>
        <w:pStyle w:val="ECHRPara"/>
      </w:pPr>
      <w:r>
        <w:fldChar w:fldCharType="begin"/>
      </w:r>
      <w:r>
        <w:instrText xml:space="preserve"> SEQ level0 \*arabic </w:instrText>
      </w:r>
      <w:r>
        <w:fldChar w:fldCharType="separate"/>
      </w:r>
      <w:r w:rsidR="00D21AD2">
        <w:rPr>
          <w:noProof/>
        </w:rPr>
        <w:t>23</w:t>
      </w:r>
      <w:r>
        <w:fldChar w:fldCharType="end"/>
      </w:r>
      <w:r>
        <w:t>.  The applicants</w:t>
      </w:r>
      <w:r w:rsidR="00BA3D89">
        <w:t>’</w:t>
      </w:r>
      <w:r>
        <w:t xml:space="preserve"> representative confirmed that she had not been aware of A.A.</w:t>
      </w:r>
      <w:r w:rsidR="00BA3D89">
        <w:t>’</w:t>
      </w:r>
      <w:r>
        <w:t xml:space="preserve">s escape prior to the meeting with the two other applicants on </w:t>
      </w:r>
      <w:r w:rsidR="00943B86">
        <w:t>17 </w:t>
      </w:r>
      <w:r>
        <w:t>December 2014 and submitted that she had no knowledge of A.A.</w:t>
      </w:r>
      <w:r w:rsidR="00BA3D89">
        <w:t>’</w:t>
      </w:r>
      <w:r>
        <w:t>s current whereabouts.</w:t>
      </w:r>
    </w:p>
    <w:p w:rsidR="001766CD" w:rsidRDefault="00965E4D" w:rsidP="001766CD">
      <w:pPr>
        <w:pStyle w:val="ECHRHeading2"/>
      </w:pPr>
      <w:r>
        <w:t>D.  </w:t>
      </w:r>
      <w:r w:rsidR="007E7033">
        <w:t xml:space="preserve">Proceedings for refugee and asylum </w:t>
      </w:r>
      <w:r w:rsidR="0071734C">
        <w:t xml:space="preserve">status </w:t>
      </w:r>
      <w:r w:rsidR="007E7033">
        <w:t>in Russia</w:t>
      </w:r>
    </w:p>
    <w:p w:rsidR="00A15AC3" w:rsidRDefault="00965E4D" w:rsidP="00A15AC3">
      <w:pPr>
        <w:pStyle w:val="ECHRHeading3"/>
      </w:pPr>
      <w:r>
        <w:t>1.  </w:t>
      </w:r>
      <w:r w:rsidR="00A15AC3">
        <w:t>A.A.</w:t>
      </w:r>
      <w:r w:rsidR="00BA3D89">
        <w:t>’</w:t>
      </w:r>
      <w:r w:rsidR="00A15AC3">
        <w:t>s first application for asylum</w:t>
      </w:r>
    </w:p>
    <w:p w:rsidR="009E1BDD" w:rsidRDefault="00A15AC3" w:rsidP="00A15AC3">
      <w:pPr>
        <w:pStyle w:val="ECHRPara"/>
      </w:pPr>
      <w:r>
        <w:fldChar w:fldCharType="begin"/>
      </w:r>
      <w:r>
        <w:instrText xml:space="preserve"> SEQ level0 \*arabic </w:instrText>
      </w:r>
      <w:r>
        <w:fldChar w:fldCharType="separate"/>
      </w:r>
      <w:r w:rsidR="00D21AD2">
        <w:rPr>
          <w:noProof/>
        </w:rPr>
        <w:t>24</w:t>
      </w:r>
      <w:r>
        <w:fldChar w:fldCharType="end"/>
      </w:r>
      <w:r>
        <w:t>.  </w:t>
      </w:r>
      <w:r w:rsidR="00BF10CB">
        <w:t>F</w:t>
      </w:r>
      <w:r>
        <w:t>rom the documents su</w:t>
      </w:r>
      <w:r w:rsidR="00080ABB">
        <w:t>b</w:t>
      </w:r>
      <w:r>
        <w:t>mit</w:t>
      </w:r>
      <w:r w:rsidR="00080ABB">
        <w:t>t</w:t>
      </w:r>
      <w:r>
        <w:t>ed by the Government in December 2014,</w:t>
      </w:r>
      <w:r w:rsidR="00BF10CB">
        <w:t xml:space="preserve"> it appears that</w:t>
      </w:r>
      <w:r>
        <w:t xml:space="preserve"> A.A. sought refugee status in Russia on 5 March 2014 by applying to the </w:t>
      </w:r>
      <w:r w:rsidR="00080ABB">
        <w:t xml:space="preserve">Moscow Region </w:t>
      </w:r>
      <w:r w:rsidR="00BF10CB">
        <w:t>FMS</w:t>
      </w:r>
      <w:r>
        <w:t>.</w:t>
      </w:r>
      <w:r w:rsidR="00E555DB">
        <w:t xml:space="preserve"> On 11 March 2014 this request </w:t>
      </w:r>
      <w:r w:rsidR="00BF10CB">
        <w:t>was</w:t>
      </w:r>
      <w:r w:rsidR="00E555DB">
        <w:t xml:space="preserve"> accepted for consideratio</w:t>
      </w:r>
      <w:r w:rsidR="00BF10CB">
        <w:t>n on the merits</w:t>
      </w:r>
      <w:r w:rsidR="00080ABB">
        <w:t xml:space="preserve"> and</w:t>
      </w:r>
      <w:r w:rsidR="00BF10CB">
        <w:t xml:space="preserve"> the applicant w</w:t>
      </w:r>
      <w:r w:rsidR="00E555DB">
        <w:t>as questioned and issued with an appropriate document.</w:t>
      </w:r>
    </w:p>
    <w:p w:rsidR="009E1BDD" w:rsidRDefault="00E555DB" w:rsidP="00A15AC3">
      <w:pPr>
        <w:pStyle w:val="ECHRPara"/>
      </w:pPr>
      <w:r>
        <w:fldChar w:fldCharType="begin"/>
      </w:r>
      <w:r>
        <w:instrText xml:space="preserve"> SEQ level0 \*arabic </w:instrText>
      </w:r>
      <w:r>
        <w:fldChar w:fldCharType="separate"/>
      </w:r>
      <w:r w:rsidR="00D21AD2">
        <w:rPr>
          <w:noProof/>
        </w:rPr>
        <w:t>25</w:t>
      </w:r>
      <w:r>
        <w:fldChar w:fldCharType="end"/>
      </w:r>
      <w:r>
        <w:t>.  On 26 March 2014 A.A.</w:t>
      </w:r>
      <w:r w:rsidR="00BA3D89">
        <w:t>’</w:t>
      </w:r>
      <w:r>
        <w:t xml:space="preserve">s </w:t>
      </w:r>
      <w:r w:rsidR="00225F9D">
        <w:t>application for refugee status wa</w:t>
      </w:r>
      <w:r>
        <w:t xml:space="preserve">s dismissed. The decision of the FMS stated that </w:t>
      </w:r>
      <w:r w:rsidR="00080ABB">
        <w:t>he</w:t>
      </w:r>
      <w:r w:rsidR="00401698">
        <w:t xml:space="preserve"> had submitted no information to support his claims of persecution in Syria. His family remained in that country and he could have used </w:t>
      </w:r>
      <w:r w:rsidR="00080ABB">
        <w:t>the “</w:t>
      </w:r>
      <w:r w:rsidR="00401698">
        <w:t>internal flight alternative</w:t>
      </w:r>
      <w:r w:rsidR="00080ABB">
        <w:t>”</w:t>
      </w:r>
      <w:r w:rsidR="00401698">
        <w:t xml:space="preserve"> </w:t>
      </w:r>
      <w:r w:rsidR="00080ABB">
        <w:t>to an</w:t>
      </w:r>
      <w:r w:rsidR="00401698">
        <w:t xml:space="preserve">other part of Syria, or claimed asylum in </w:t>
      </w:r>
      <w:r w:rsidR="00080ABB">
        <w:t xml:space="preserve">a </w:t>
      </w:r>
      <w:r w:rsidR="00401698">
        <w:t xml:space="preserve">transit </w:t>
      </w:r>
      <w:r w:rsidR="00080ABB">
        <w:t>country</w:t>
      </w:r>
      <w:r w:rsidR="00401698">
        <w:t xml:space="preserve">. </w:t>
      </w:r>
      <w:r w:rsidR="00B95958">
        <w:t xml:space="preserve">He reasoned his request to remain in Russia by his wish to work there and </w:t>
      </w:r>
      <w:r w:rsidR="005D2B0C">
        <w:t xml:space="preserve">did not </w:t>
      </w:r>
      <w:r w:rsidR="00B14FAF">
        <w:t xml:space="preserve">therefore </w:t>
      </w:r>
      <w:r w:rsidR="005D2B0C">
        <w:t>fall under the definition of refugee.</w:t>
      </w:r>
    </w:p>
    <w:p w:rsidR="009E1BDD" w:rsidRDefault="005D2B0C" w:rsidP="00A15AC3">
      <w:pPr>
        <w:pStyle w:val="ECHRPara"/>
      </w:pPr>
      <w:r>
        <w:fldChar w:fldCharType="begin"/>
      </w:r>
      <w:r>
        <w:instrText xml:space="preserve"> SEQ level0 \*arabic </w:instrText>
      </w:r>
      <w:r>
        <w:fldChar w:fldCharType="separate"/>
      </w:r>
      <w:r w:rsidR="00D21AD2">
        <w:rPr>
          <w:noProof/>
        </w:rPr>
        <w:t>26</w:t>
      </w:r>
      <w:r>
        <w:fldChar w:fldCharType="end"/>
      </w:r>
      <w:r>
        <w:t>.  </w:t>
      </w:r>
      <w:r w:rsidR="00BF10CB">
        <w:t>T</w:t>
      </w:r>
      <w:r>
        <w:t>h</w:t>
      </w:r>
      <w:r w:rsidR="009D1DDC">
        <w:t>e applicant did not obtain a copy of that decision and did</w:t>
      </w:r>
      <w:r>
        <w:t xml:space="preserve"> not appeal against</w:t>
      </w:r>
      <w:r w:rsidR="009D1DDC">
        <w:t xml:space="preserve"> it</w:t>
      </w:r>
      <w:r>
        <w:t>.</w:t>
      </w:r>
    </w:p>
    <w:p w:rsidR="009E1BDD" w:rsidRDefault="00965E4D" w:rsidP="00A15AC3">
      <w:pPr>
        <w:pStyle w:val="ECHRHeading3"/>
      </w:pPr>
      <w:r>
        <w:t>2.  </w:t>
      </w:r>
      <w:r w:rsidR="00A15AC3">
        <w:t>The applicants</w:t>
      </w:r>
      <w:r w:rsidR="00BA3D89">
        <w:t>’</w:t>
      </w:r>
      <w:r w:rsidR="00A15AC3">
        <w:t xml:space="preserve"> claims of asylum after </w:t>
      </w:r>
      <w:r w:rsidR="0069708D">
        <w:t>arrest</w:t>
      </w:r>
    </w:p>
    <w:p w:rsidR="009E1BDD" w:rsidRDefault="007E7033" w:rsidP="001766CD">
      <w:pPr>
        <w:pStyle w:val="ECHRPara"/>
      </w:pPr>
      <w:r>
        <w:fldChar w:fldCharType="begin"/>
      </w:r>
      <w:r>
        <w:instrText xml:space="preserve"> SEQ level0 \*arabic </w:instrText>
      </w:r>
      <w:r>
        <w:fldChar w:fldCharType="separate"/>
      </w:r>
      <w:r w:rsidR="00D21AD2">
        <w:rPr>
          <w:noProof/>
        </w:rPr>
        <w:t>27</w:t>
      </w:r>
      <w:r>
        <w:fldChar w:fldCharType="end"/>
      </w:r>
      <w:r>
        <w:t xml:space="preserve">.  After </w:t>
      </w:r>
      <w:r w:rsidR="00080ABB">
        <w:t xml:space="preserve">their </w:t>
      </w:r>
      <w:r>
        <w:t>arrest the</w:t>
      </w:r>
      <w:r w:rsidR="00A15AC3">
        <w:t xml:space="preserve"> three </w:t>
      </w:r>
      <w:r>
        <w:t xml:space="preserve">applicants </w:t>
      </w:r>
      <w:r w:rsidR="00087583">
        <w:t>applied for</w:t>
      </w:r>
      <w:r>
        <w:t xml:space="preserve"> </w:t>
      </w:r>
      <w:r w:rsidR="00087583">
        <w:t>refugee status</w:t>
      </w:r>
      <w:r>
        <w:t>. They submitted the relevant applications to the local FMS in Kaluga</w:t>
      </w:r>
      <w:r w:rsidR="00541AF6">
        <w:t>;</w:t>
      </w:r>
      <w:r>
        <w:t xml:space="preserve"> M.</w:t>
      </w:r>
      <w:r w:rsidR="00807B20">
        <w:t xml:space="preserve">A. </w:t>
      </w:r>
      <w:r w:rsidR="001B1D87">
        <w:t xml:space="preserve">and A.A. </w:t>
      </w:r>
      <w:r>
        <w:t>on 14 May 2014</w:t>
      </w:r>
      <w:r w:rsidR="00675813">
        <w:t xml:space="preserve"> </w:t>
      </w:r>
      <w:r w:rsidR="001B1D87">
        <w:t xml:space="preserve">and </w:t>
      </w:r>
      <w:r w:rsidR="00A50F89">
        <w:t>L.M.</w:t>
      </w:r>
      <w:r w:rsidR="001B1D87">
        <w:t xml:space="preserve"> on 21 May 2014.</w:t>
      </w:r>
    </w:p>
    <w:p w:rsidR="009E1BDD" w:rsidRDefault="001B1D87" w:rsidP="001766CD">
      <w:pPr>
        <w:pStyle w:val="ECHRPara"/>
      </w:pPr>
      <w:r>
        <w:fldChar w:fldCharType="begin"/>
      </w:r>
      <w:r>
        <w:instrText xml:space="preserve"> SEQ level0 \*arabic </w:instrText>
      </w:r>
      <w:r>
        <w:fldChar w:fldCharType="separate"/>
      </w:r>
      <w:r w:rsidR="00D21AD2">
        <w:rPr>
          <w:noProof/>
        </w:rPr>
        <w:t>28</w:t>
      </w:r>
      <w:r>
        <w:fldChar w:fldCharType="end"/>
      </w:r>
      <w:r>
        <w:t xml:space="preserve">.  On 28 May 2014 </w:t>
      </w:r>
      <w:r w:rsidR="00675813">
        <w:t>the</w:t>
      </w:r>
      <w:r>
        <w:t xml:space="preserve"> three applicants </w:t>
      </w:r>
      <w:r w:rsidR="00313675">
        <w:t xml:space="preserve">also </w:t>
      </w:r>
      <w:r>
        <w:t xml:space="preserve">submitted requests </w:t>
      </w:r>
      <w:r w:rsidR="00675813">
        <w:t>for</w:t>
      </w:r>
      <w:r>
        <w:t xml:space="preserve"> temporary asylum in Russia</w:t>
      </w:r>
      <w:r w:rsidR="00675813">
        <w:t xml:space="preserve">, which </w:t>
      </w:r>
      <w:r>
        <w:t xml:space="preserve">were </w:t>
      </w:r>
      <w:r w:rsidR="00BF10CB">
        <w:t>drawn up</w:t>
      </w:r>
      <w:r>
        <w:t xml:space="preserve"> in Russian and translated by Z.A.</w:t>
      </w:r>
    </w:p>
    <w:p w:rsidR="000E2852" w:rsidRDefault="000E2852" w:rsidP="001766CD">
      <w:pPr>
        <w:pStyle w:val="ECHRPara"/>
      </w:pPr>
      <w:r>
        <w:fldChar w:fldCharType="begin"/>
      </w:r>
      <w:r>
        <w:instrText xml:space="preserve"> SEQ level0 \*arabic </w:instrText>
      </w:r>
      <w:r>
        <w:fldChar w:fldCharType="separate"/>
      </w:r>
      <w:r w:rsidR="00D21AD2">
        <w:rPr>
          <w:noProof/>
        </w:rPr>
        <w:t>29</w:t>
      </w:r>
      <w:r>
        <w:fldChar w:fldCharType="end"/>
      </w:r>
      <w:r>
        <w:t xml:space="preserve">.  In June 2014 </w:t>
      </w:r>
      <w:r w:rsidR="00B14FAF">
        <w:t xml:space="preserve">the </w:t>
      </w:r>
      <w:r>
        <w:t xml:space="preserve">three applicants </w:t>
      </w:r>
      <w:r w:rsidR="009E67D0">
        <w:t>were questioned by the Kaluga FMS</w:t>
      </w:r>
      <w:r>
        <w:t>. They indicated that the reasons for their departure from Syria were the war and danger to their lives. A.A. stated that he was from Aleppo and ha</w:t>
      </w:r>
      <w:r w:rsidR="00FB7A22">
        <w:t>d</w:t>
      </w:r>
      <w:r>
        <w:t xml:space="preserve"> lost contact with his family</w:t>
      </w:r>
      <w:r w:rsidR="00313675">
        <w:t>,</w:t>
      </w:r>
      <w:r>
        <w:t xml:space="preserve"> parents and siblings after </w:t>
      </w:r>
      <w:r w:rsidR="00313675">
        <w:t xml:space="preserve">his </w:t>
      </w:r>
      <w:r>
        <w:t>departure in 2013.</w:t>
      </w:r>
      <w:r w:rsidR="00FF0CB1">
        <w:t xml:space="preserve"> M.</w:t>
      </w:r>
      <w:r w:rsidR="00807B20">
        <w:t>A.</w:t>
      </w:r>
      <w:r>
        <w:t xml:space="preserve"> stated that he had fled Aleppo after </w:t>
      </w:r>
      <w:r w:rsidR="00313675">
        <w:t xml:space="preserve">his </w:t>
      </w:r>
      <w:r>
        <w:t xml:space="preserve">neighbourhood had been taken over by “terrorists” who had killed dozens of </w:t>
      </w:r>
      <w:r w:rsidR="00313675">
        <w:t xml:space="preserve">people </w:t>
      </w:r>
      <w:r>
        <w:t xml:space="preserve">there, </w:t>
      </w:r>
      <w:r w:rsidR="00823470">
        <w:t xml:space="preserve">including his close male relatives, </w:t>
      </w:r>
      <w:r>
        <w:t>which he had witness</w:t>
      </w:r>
      <w:r w:rsidR="008C0D2B">
        <w:t>ed</w:t>
      </w:r>
      <w:r>
        <w:t xml:space="preserve">. He </w:t>
      </w:r>
      <w:r w:rsidR="00313675">
        <w:t xml:space="preserve">had </w:t>
      </w:r>
      <w:r>
        <w:t xml:space="preserve">also lost contact </w:t>
      </w:r>
      <w:r>
        <w:lastRenderedPageBreak/>
        <w:t xml:space="preserve">with his family after December 2013. </w:t>
      </w:r>
      <w:r w:rsidR="00B715E9">
        <w:t xml:space="preserve">L.M. had been </w:t>
      </w:r>
      <w:r w:rsidR="00313675">
        <w:t xml:space="preserve">in Damascus but had no right of </w:t>
      </w:r>
      <w:r w:rsidR="00B715E9">
        <w:t xml:space="preserve">return as he was a stateless Palestinian. He had also lost contact with </w:t>
      </w:r>
      <w:r w:rsidR="00B212DA">
        <w:t xml:space="preserve">the members of </w:t>
      </w:r>
      <w:r w:rsidR="00B715E9">
        <w:t xml:space="preserve">his family who had remained in Syria. </w:t>
      </w:r>
      <w:r w:rsidR="00D46F90">
        <w:t>A</w:t>
      </w:r>
      <w:r w:rsidR="00B715E9">
        <w:t>ll applicants stressed that they were afraid to go back because of the hostilities which had caused their departure</w:t>
      </w:r>
      <w:r w:rsidR="00313675">
        <w:t>,</w:t>
      </w:r>
      <w:r w:rsidR="00B715E9">
        <w:t xml:space="preserve"> and</w:t>
      </w:r>
      <w:r w:rsidR="00B14FAF">
        <w:t xml:space="preserve"> said</w:t>
      </w:r>
      <w:r w:rsidR="00B715E9">
        <w:t xml:space="preserve"> </w:t>
      </w:r>
      <w:r w:rsidR="00313675">
        <w:t xml:space="preserve">that they </w:t>
      </w:r>
      <w:r w:rsidR="00B715E9">
        <w:t>feared be</w:t>
      </w:r>
      <w:r w:rsidR="00313675">
        <w:t>ing</w:t>
      </w:r>
      <w:r w:rsidR="00B715E9">
        <w:t xml:space="preserve"> </w:t>
      </w:r>
      <w:r w:rsidR="00BF10CB">
        <w:t xml:space="preserve">forcibly </w:t>
      </w:r>
      <w:r w:rsidR="00B715E9">
        <w:t xml:space="preserve">drafted </w:t>
      </w:r>
      <w:r w:rsidR="00313675">
        <w:t>in</w:t>
      </w:r>
      <w:r w:rsidR="0002548B">
        <w:t xml:space="preserve">to </w:t>
      </w:r>
      <w:r w:rsidR="00BF10CB">
        <w:t xml:space="preserve">the </w:t>
      </w:r>
      <w:r w:rsidR="0002548B">
        <w:t>armed forces</w:t>
      </w:r>
      <w:r w:rsidR="00B715E9">
        <w:t>.</w:t>
      </w:r>
    </w:p>
    <w:p w:rsidR="009E1BDD" w:rsidRDefault="00F42BB4" w:rsidP="001766CD">
      <w:pPr>
        <w:pStyle w:val="ECHRPara"/>
      </w:pPr>
      <w:r>
        <w:fldChar w:fldCharType="begin"/>
      </w:r>
      <w:r>
        <w:instrText xml:space="preserve"> SEQ level0 \*arabic </w:instrText>
      </w:r>
      <w:r>
        <w:fldChar w:fldCharType="separate"/>
      </w:r>
      <w:r w:rsidR="00D21AD2">
        <w:rPr>
          <w:noProof/>
        </w:rPr>
        <w:t>30</w:t>
      </w:r>
      <w:r>
        <w:fldChar w:fldCharType="end"/>
      </w:r>
      <w:r>
        <w:t xml:space="preserve">.  On 16 June </w:t>
      </w:r>
      <w:r w:rsidR="00A15AC3">
        <w:t xml:space="preserve">2014 </w:t>
      </w:r>
      <w:r>
        <w:t xml:space="preserve">the Kaluga FMS decided that </w:t>
      </w:r>
      <w:r w:rsidR="00087583">
        <w:t>their</w:t>
      </w:r>
      <w:r>
        <w:t xml:space="preserve"> applications for refugee status should be considered on the </w:t>
      </w:r>
      <w:r w:rsidR="008C0D2B">
        <w:t xml:space="preserve">merits </w:t>
      </w:r>
      <w:r>
        <w:t>and issued appropriate certificates to the</w:t>
      </w:r>
      <w:r w:rsidR="008C0D2B">
        <w:t>m</w:t>
      </w:r>
      <w:r>
        <w:t>.</w:t>
      </w:r>
    </w:p>
    <w:p w:rsidR="009E1BDD" w:rsidRDefault="00F42BB4" w:rsidP="001766CD">
      <w:pPr>
        <w:pStyle w:val="ECHRPara"/>
      </w:pPr>
      <w:r>
        <w:fldChar w:fldCharType="begin"/>
      </w:r>
      <w:r>
        <w:instrText xml:space="preserve"> SEQ level0 \*arabic </w:instrText>
      </w:r>
      <w:r>
        <w:fldChar w:fldCharType="separate"/>
      </w:r>
      <w:r w:rsidR="00D21AD2">
        <w:rPr>
          <w:noProof/>
        </w:rPr>
        <w:t>31</w:t>
      </w:r>
      <w:r>
        <w:fldChar w:fldCharType="end"/>
      </w:r>
      <w:r>
        <w:t xml:space="preserve">.  In parallel proceedings, also in June 2014, the three applicants were questioned </w:t>
      </w:r>
      <w:r w:rsidR="00087583">
        <w:t xml:space="preserve">by the FMS </w:t>
      </w:r>
      <w:r>
        <w:t>in order to obtain temporary asylum in Russia.</w:t>
      </w:r>
    </w:p>
    <w:p w:rsidR="009E1BDD" w:rsidRDefault="00F42BB4" w:rsidP="001766CD">
      <w:pPr>
        <w:pStyle w:val="ECHRPara"/>
      </w:pPr>
      <w:r>
        <w:fldChar w:fldCharType="begin"/>
      </w:r>
      <w:r>
        <w:instrText xml:space="preserve"> SEQ level0 \*arabic </w:instrText>
      </w:r>
      <w:r>
        <w:fldChar w:fldCharType="separate"/>
      </w:r>
      <w:r w:rsidR="00D21AD2">
        <w:rPr>
          <w:noProof/>
        </w:rPr>
        <w:t>32</w:t>
      </w:r>
      <w:r>
        <w:fldChar w:fldCharType="end"/>
      </w:r>
      <w:r>
        <w:t>.  On 17 July 2014 L.M. signed a paper in Russian stat</w:t>
      </w:r>
      <w:r w:rsidR="007726BF">
        <w:t>ing</w:t>
      </w:r>
      <w:r>
        <w:t xml:space="preserve"> that he </w:t>
      </w:r>
      <w:r w:rsidR="002A2E2A">
        <w:t xml:space="preserve">had asked for </w:t>
      </w:r>
      <w:r>
        <w:t>his request for “temporary asylum in Russia dated 28 May 2014”</w:t>
      </w:r>
      <w:r w:rsidR="002A2E2A">
        <w:t xml:space="preserve"> not to be considered</w:t>
      </w:r>
      <w:r>
        <w:t xml:space="preserve"> since he “intended to return to his home in Syria”. The paper was </w:t>
      </w:r>
      <w:r w:rsidR="002A2E2A">
        <w:t xml:space="preserve">also </w:t>
      </w:r>
      <w:r>
        <w:t>signed by</w:t>
      </w:r>
      <w:r w:rsidR="002A2E2A">
        <w:t xml:space="preserve"> a</w:t>
      </w:r>
      <w:r>
        <w:t xml:space="preserve"> </w:t>
      </w:r>
      <w:r w:rsidR="00BA6E52">
        <w:t xml:space="preserve">translator, </w:t>
      </w:r>
      <w:r>
        <w:t>Z.A.</w:t>
      </w:r>
    </w:p>
    <w:p w:rsidR="00F42BB4" w:rsidRDefault="00F42BB4" w:rsidP="001766CD">
      <w:pPr>
        <w:pStyle w:val="ECHRPara"/>
      </w:pPr>
      <w:r>
        <w:fldChar w:fldCharType="begin"/>
      </w:r>
      <w:r>
        <w:instrText xml:space="preserve"> SEQ level0 \*arabic </w:instrText>
      </w:r>
      <w:r>
        <w:fldChar w:fldCharType="separate"/>
      </w:r>
      <w:r w:rsidR="00D21AD2">
        <w:rPr>
          <w:noProof/>
        </w:rPr>
        <w:t>33</w:t>
      </w:r>
      <w:r>
        <w:fldChar w:fldCharType="end"/>
      </w:r>
      <w:r>
        <w:t>.  </w:t>
      </w:r>
      <w:r w:rsidR="00B14FAF">
        <w:t>On the same date</w:t>
      </w:r>
      <w:r>
        <w:t xml:space="preserve"> a similar paper was signed by A.A. </w:t>
      </w:r>
      <w:r w:rsidR="002A2E2A">
        <w:t xml:space="preserve">which </w:t>
      </w:r>
      <w:r>
        <w:t xml:space="preserve">stated that “he and his wife intended to go to Turkey”. The paper was </w:t>
      </w:r>
      <w:r w:rsidR="00BA6E52">
        <w:t xml:space="preserve">also </w:t>
      </w:r>
      <w:r>
        <w:t>signed by Z.A.</w:t>
      </w:r>
    </w:p>
    <w:p w:rsidR="009E1BDD" w:rsidRDefault="00401698" w:rsidP="001766CD">
      <w:pPr>
        <w:pStyle w:val="ECHRPara"/>
      </w:pPr>
      <w:r>
        <w:fldChar w:fldCharType="begin"/>
      </w:r>
      <w:r>
        <w:instrText xml:space="preserve"> SEQ level0 \*arabic </w:instrText>
      </w:r>
      <w:r>
        <w:fldChar w:fldCharType="separate"/>
      </w:r>
      <w:r w:rsidR="00D21AD2">
        <w:rPr>
          <w:noProof/>
        </w:rPr>
        <w:t>34</w:t>
      </w:r>
      <w:r>
        <w:fldChar w:fldCharType="end"/>
      </w:r>
      <w:r>
        <w:t xml:space="preserve">.  According to the </w:t>
      </w:r>
      <w:r w:rsidR="00F34C8B">
        <w:t>Government</w:t>
      </w:r>
      <w:r w:rsidR="00BA3D89">
        <w:t>’</w:t>
      </w:r>
      <w:r w:rsidR="00F34C8B">
        <w:t>s</w:t>
      </w:r>
      <w:r>
        <w:t xml:space="preserve"> observations of 3 December 2014, these requests served as the basis of the FMS decisions to terminate the proceedings in respect of these two applicants</w:t>
      </w:r>
      <w:r w:rsidR="0069708D">
        <w:t xml:space="preserve">, both in respect of their request for refugee status and temporary asylum. No documents </w:t>
      </w:r>
      <w:r w:rsidR="002A2E2A">
        <w:t xml:space="preserve">were </w:t>
      </w:r>
      <w:r w:rsidR="0069708D">
        <w:t xml:space="preserve">submitted in this </w:t>
      </w:r>
      <w:r w:rsidR="002A2E2A">
        <w:t>regard</w:t>
      </w:r>
      <w:r w:rsidR="0069708D">
        <w:t>.</w:t>
      </w:r>
    </w:p>
    <w:p w:rsidR="009E1BDD" w:rsidRDefault="00A15AC3" w:rsidP="001766CD">
      <w:pPr>
        <w:pStyle w:val="ECHRPara"/>
      </w:pPr>
      <w:r>
        <w:fldChar w:fldCharType="begin"/>
      </w:r>
      <w:r>
        <w:instrText xml:space="preserve"> SEQ level0 \*arabic </w:instrText>
      </w:r>
      <w:r>
        <w:fldChar w:fldCharType="separate"/>
      </w:r>
      <w:r w:rsidR="00D21AD2">
        <w:rPr>
          <w:noProof/>
        </w:rPr>
        <w:t>35</w:t>
      </w:r>
      <w:r>
        <w:fldChar w:fldCharType="end"/>
      </w:r>
      <w:r>
        <w:t>.  On 16 September 2014 the Kaluga FMS decided to refuse M.</w:t>
      </w:r>
      <w:r w:rsidR="00807B20">
        <w:t>A.</w:t>
      </w:r>
      <w:r w:rsidR="00BA3D89">
        <w:t>’</w:t>
      </w:r>
      <w:r>
        <w:t xml:space="preserve">s request </w:t>
      </w:r>
      <w:r w:rsidR="00313675">
        <w:t>for</w:t>
      </w:r>
      <w:r>
        <w:t xml:space="preserve"> refugee status. It considered that </w:t>
      </w:r>
      <w:r w:rsidR="002A2E2A">
        <w:t>he</w:t>
      </w:r>
      <w:r>
        <w:t xml:space="preserve"> faced no threat of persecution </w:t>
      </w:r>
      <w:r w:rsidR="0065661A">
        <w:t xml:space="preserve">on </w:t>
      </w:r>
      <w:r>
        <w:t xml:space="preserve">the </w:t>
      </w:r>
      <w:r w:rsidR="0065661A">
        <w:t xml:space="preserve">grounds set out </w:t>
      </w:r>
      <w:r>
        <w:t>in the Law on Refugees. On 17</w:t>
      </w:r>
      <w:r w:rsidR="00965E4D">
        <w:t> </w:t>
      </w:r>
      <w:r>
        <w:t xml:space="preserve">September 2014 the Kaluga FMS, for the same </w:t>
      </w:r>
      <w:r w:rsidR="00087583">
        <w:t xml:space="preserve">reasons, refused </w:t>
      </w:r>
      <w:r w:rsidR="004C590F">
        <w:t>him</w:t>
      </w:r>
      <w:r>
        <w:t xml:space="preserve"> temporary asylum.</w:t>
      </w:r>
    </w:p>
    <w:bookmarkStart w:id="9" w:name="MAAsylumAppeal28Nov14"/>
    <w:p w:rsidR="009E1BDD" w:rsidRDefault="00FF0CB1" w:rsidP="001766CD">
      <w:pPr>
        <w:pStyle w:val="ECHRPara"/>
      </w:pPr>
      <w:r>
        <w:fldChar w:fldCharType="begin"/>
      </w:r>
      <w:r>
        <w:instrText xml:space="preserve"> SEQ level0 \*arabic </w:instrText>
      </w:r>
      <w:r>
        <w:fldChar w:fldCharType="separate"/>
      </w:r>
      <w:r w:rsidR="00D21AD2">
        <w:rPr>
          <w:noProof/>
        </w:rPr>
        <w:t>36</w:t>
      </w:r>
      <w:r>
        <w:fldChar w:fldCharType="end"/>
      </w:r>
      <w:bookmarkEnd w:id="9"/>
      <w:r>
        <w:t>.  On 28 November 2014 the Regional Court reviewed M.</w:t>
      </w:r>
      <w:r w:rsidR="00807B20">
        <w:t>A.</w:t>
      </w:r>
      <w:r w:rsidR="00BA3D89">
        <w:t>’</w:t>
      </w:r>
      <w:r>
        <w:t xml:space="preserve">s appeal against the decision not to grant him temporary asylum. </w:t>
      </w:r>
      <w:r w:rsidR="0065661A">
        <w:t>He</w:t>
      </w:r>
      <w:r>
        <w:t xml:space="preserve"> </w:t>
      </w:r>
      <w:r w:rsidR="0065661A">
        <w:t xml:space="preserve">was </w:t>
      </w:r>
      <w:r>
        <w:t xml:space="preserve">not </w:t>
      </w:r>
      <w:r w:rsidR="0065661A">
        <w:t xml:space="preserve">taken </w:t>
      </w:r>
      <w:r>
        <w:t>to the trial</w:t>
      </w:r>
      <w:r w:rsidR="00185137">
        <w:t xml:space="preserve"> even</w:t>
      </w:r>
      <w:r w:rsidR="00087583">
        <w:t xml:space="preserve"> though the decision </w:t>
      </w:r>
      <w:r w:rsidR="0065661A">
        <w:t xml:space="preserve">stated </w:t>
      </w:r>
      <w:r>
        <w:t>that he ha</w:t>
      </w:r>
      <w:r w:rsidR="00087583">
        <w:t>d</w:t>
      </w:r>
      <w:r>
        <w:t xml:space="preserve"> been</w:t>
      </w:r>
      <w:r w:rsidR="00185137">
        <w:t xml:space="preserve"> notified, and he </w:t>
      </w:r>
      <w:r>
        <w:t xml:space="preserve">did </w:t>
      </w:r>
      <w:r w:rsidR="00185137">
        <w:t>not</w:t>
      </w:r>
      <w:r>
        <w:t xml:space="preserve"> have a representative. A representative of the FMS appeared before the court</w:t>
      </w:r>
      <w:r w:rsidR="004C590F">
        <w:t>, which</w:t>
      </w:r>
      <w:r>
        <w:t xml:space="preserve"> briefly restated the reasons </w:t>
      </w:r>
      <w:r w:rsidR="00185137">
        <w:t xml:space="preserve">for </w:t>
      </w:r>
      <w:r>
        <w:t xml:space="preserve">the FMS decision to refuse the applicant both refugee and temporary asylum status and confirmed that there </w:t>
      </w:r>
      <w:r w:rsidR="00185137">
        <w:t xml:space="preserve">were </w:t>
      </w:r>
      <w:r>
        <w:t xml:space="preserve">no reasons to </w:t>
      </w:r>
      <w:r w:rsidR="00087583">
        <w:t>regard</w:t>
      </w:r>
      <w:r>
        <w:t xml:space="preserve"> </w:t>
      </w:r>
      <w:r w:rsidR="00986709">
        <w:t>him</w:t>
      </w:r>
      <w:r>
        <w:t xml:space="preserve"> as </w:t>
      </w:r>
      <w:r w:rsidR="00087583">
        <w:t xml:space="preserve">in need of </w:t>
      </w:r>
      <w:r>
        <w:t>protect</w:t>
      </w:r>
      <w:r w:rsidR="00087583">
        <w:t>ion</w:t>
      </w:r>
      <w:r>
        <w:t xml:space="preserve">. </w:t>
      </w:r>
      <w:r w:rsidR="00986709">
        <w:t>Neither t</w:t>
      </w:r>
      <w:r>
        <w:t xml:space="preserve">he general situation in Syria </w:t>
      </w:r>
      <w:r w:rsidR="00986709">
        <w:t>n</w:t>
      </w:r>
      <w:r>
        <w:t>or the applicant</w:t>
      </w:r>
      <w:r w:rsidR="00BA3D89">
        <w:t>’</w:t>
      </w:r>
      <w:r>
        <w:t>s submissions about the situation in Aleppo had</w:t>
      </w:r>
      <w:r w:rsidR="00986709">
        <w:t xml:space="preserve"> </w:t>
      </w:r>
      <w:r>
        <w:t xml:space="preserve">been raised or discussed. </w:t>
      </w:r>
      <w:r w:rsidR="00EF3A57">
        <w:t>This decision was sent to M.</w:t>
      </w:r>
      <w:r w:rsidR="00807B20">
        <w:t>A.</w:t>
      </w:r>
      <w:r w:rsidR="00EF3A57">
        <w:t xml:space="preserve"> on 5</w:t>
      </w:r>
      <w:r w:rsidR="00965E4D">
        <w:t> </w:t>
      </w:r>
      <w:r w:rsidR="00EF3A57">
        <w:t xml:space="preserve">December 2014. </w:t>
      </w:r>
      <w:r w:rsidR="00FB7A22">
        <w:t>It is unclear if he appealed against it.</w:t>
      </w:r>
    </w:p>
    <w:p w:rsidR="009E1BDD" w:rsidRDefault="00401698" w:rsidP="00401698">
      <w:pPr>
        <w:pStyle w:val="ECHRHeading3"/>
      </w:pPr>
      <w:r>
        <w:t>3.</w:t>
      </w:r>
      <w:r w:rsidR="00965E4D">
        <w:t>  </w:t>
      </w:r>
      <w:r>
        <w:t>Next</w:t>
      </w:r>
      <w:r w:rsidR="00A15AC3">
        <w:t xml:space="preserve"> round of proceedings</w:t>
      </w:r>
    </w:p>
    <w:p w:rsidR="009E1BDD" w:rsidRDefault="00391C1B" w:rsidP="00A15AC3">
      <w:pPr>
        <w:pStyle w:val="ECHRPara"/>
      </w:pPr>
      <w:r>
        <w:fldChar w:fldCharType="begin"/>
      </w:r>
      <w:r>
        <w:instrText xml:space="preserve"> SEQ level0 \*arabic </w:instrText>
      </w:r>
      <w:r>
        <w:fldChar w:fldCharType="separate"/>
      </w:r>
      <w:r w:rsidR="00D21AD2">
        <w:rPr>
          <w:noProof/>
        </w:rPr>
        <w:t>37</w:t>
      </w:r>
      <w:r>
        <w:fldChar w:fldCharType="end"/>
      </w:r>
      <w:r>
        <w:t xml:space="preserve">.  On 30 September 2014 </w:t>
      </w:r>
      <w:r w:rsidR="00A15AC3">
        <w:t>M.</w:t>
      </w:r>
      <w:r w:rsidR="00807B20">
        <w:t xml:space="preserve">A. </w:t>
      </w:r>
      <w:r w:rsidR="00A15AC3">
        <w:t xml:space="preserve">and L.M. submitted new </w:t>
      </w:r>
      <w:r>
        <w:t>written request</w:t>
      </w:r>
      <w:r w:rsidR="00A15AC3">
        <w:t>s</w:t>
      </w:r>
      <w:r>
        <w:t xml:space="preserve"> </w:t>
      </w:r>
      <w:r w:rsidR="00313675">
        <w:t>for</w:t>
      </w:r>
      <w:r>
        <w:t xml:space="preserve"> refugee status, which </w:t>
      </w:r>
      <w:r w:rsidR="00A37CB8">
        <w:t xml:space="preserve">were </w:t>
      </w:r>
      <w:r>
        <w:t xml:space="preserve">accepted for consideration by the Kaluga FMS on 7 October 2014. </w:t>
      </w:r>
      <w:r w:rsidR="00A37CB8">
        <w:t>O</w:t>
      </w:r>
      <w:r>
        <w:t>n 15 October 2014</w:t>
      </w:r>
      <w:r w:rsidR="00A37CB8">
        <w:t>, however,</w:t>
      </w:r>
      <w:r>
        <w:t xml:space="preserve"> </w:t>
      </w:r>
      <w:r w:rsidR="00A15AC3">
        <w:t xml:space="preserve">both applicants signed </w:t>
      </w:r>
      <w:r>
        <w:t>paper</w:t>
      </w:r>
      <w:r w:rsidR="00A15AC3">
        <w:t>s</w:t>
      </w:r>
      <w:r>
        <w:t xml:space="preserve"> in Russian stat</w:t>
      </w:r>
      <w:r w:rsidR="007726BF">
        <w:t>ing</w:t>
      </w:r>
      <w:r>
        <w:t xml:space="preserve"> that </w:t>
      </w:r>
      <w:r w:rsidR="00A15AC3">
        <w:t>they</w:t>
      </w:r>
      <w:r>
        <w:t xml:space="preserve"> </w:t>
      </w:r>
      <w:r w:rsidR="00A37CB8">
        <w:t>had asked for</w:t>
      </w:r>
      <w:r>
        <w:t xml:space="preserve"> </w:t>
      </w:r>
      <w:r w:rsidR="00A15AC3">
        <w:t>their</w:t>
      </w:r>
      <w:r>
        <w:t xml:space="preserve"> </w:t>
      </w:r>
      <w:r>
        <w:lastRenderedPageBreak/>
        <w:t>request</w:t>
      </w:r>
      <w:r w:rsidR="00A15AC3">
        <w:t>s</w:t>
      </w:r>
      <w:r>
        <w:t xml:space="preserve"> for “temporary asylum in Russia dated 28 September 2014”</w:t>
      </w:r>
      <w:r w:rsidR="00A37CB8">
        <w:t xml:space="preserve"> not to be considered</w:t>
      </w:r>
      <w:r>
        <w:t>. The paper</w:t>
      </w:r>
      <w:r w:rsidR="00A15AC3">
        <w:t>s</w:t>
      </w:r>
      <w:r>
        <w:t xml:space="preserve"> stated that </w:t>
      </w:r>
      <w:r w:rsidR="00A15AC3">
        <w:t>they</w:t>
      </w:r>
      <w:r>
        <w:t xml:space="preserve"> had b</w:t>
      </w:r>
      <w:r w:rsidR="001B1D87">
        <w:t xml:space="preserve">een translated and written by </w:t>
      </w:r>
      <w:r>
        <w:t>Z.A.</w:t>
      </w:r>
    </w:p>
    <w:p w:rsidR="009E1BDD" w:rsidRDefault="00391C1B" w:rsidP="001766CD">
      <w:pPr>
        <w:pStyle w:val="ECHRPara"/>
      </w:pPr>
      <w:r>
        <w:fldChar w:fldCharType="begin"/>
      </w:r>
      <w:r>
        <w:instrText xml:space="preserve"> SEQ level0 \*arabic </w:instrText>
      </w:r>
      <w:r>
        <w:fldChar w:fldCharType="separate"/>
      </w:r>
      <w:r w:rsidR="00D21AD2">
        <w:rPr>
          <w:noProof/>
        </w:rPr>
        <w:t>38</w:t>
      </w:r>
      <w:r>
        <w:fldChar w:fldCharType="end"/>
      </w:r>
      <w:r>
        <w:t>.  </w:t>
      </w:r>
      <w:r w:rsidR="0069708D">
        <w:t xml:space="preserve">The Government, in their observations of 2 December 2014, explained that </w:t>
      </w:r>
      <w:r w:rsidR="00A37CB8">
        <w:t xml:space="preserve">the </w:t>
      </w:r>
      <w:r w:rsidR="0069708D">
        <w:t xml:space="preserve">contradictory position taken by L.M. prevented the FMS from considering his new application on the </w:t>
      </w:r>
      <w:r w:rsidR="00A37CB8">
        <w:t>merits</w:t>
      </w:r>
      <w:r w:rsidR="0069708D">
        <w:t>. M.</w:t>
      </w:r>
      <w:r w:rsidR="00807B20">
        <w:t>A.</w:t>
      </w:r>
      <w:r w:rsidR="00BA3D89">
        <w:t>’</w:t>
      </w:r>
      <w:r w:rsidR="0069708D">
        <w:t xml:space="preserve">s new application </w:t>
      </w:r>
      <w:r w:rsidR="00A37CB8">
        <w:t xml:space="preserve">was </w:t>
      </w:r>
      <w:r w:rsidR="0069708D">
        <w:t>not considered either.</w:t>
      </w:r>
    </w:p>
    <w:p w:rsidR="00763C7D" w:rsidRDefault="00763C7D" w:rsidP="00763C7D">
      <w:pPr>
        <w:pStyle w:val="ECHRHeading2"/>
      </w:pPr>
      <w:r>
        <w:t>E.</w:t>
      </w:r>
      <w:r w:rsidR="00965E4D">
        <w:t>  </w:t>
      </w:r>
      <w:r>
        <w:t>Conditions of the applicants</w:t>
      </w:r>
      <w:r w:rsidR="00BA3D89">
        <w:t>’</w:t>
      </w:r>
      <w:r>
        <w:t xml:space="preserve"> detention and access</w:t>
      </w:r>
      <w:r w:rsidR="004C590F">
        <w:t xml:space="preserve"> to representatives</w:t>
      </w:r>
    </w:p>
    <w:p w:rsidR="0071734C" w:rsidRDefault="0071734C">
      <w:pPr>
        <w:pStyle w:val="ECHRPara"/>
      </w:pPr>
      <w:r>
        <w:fldChar w:fldCharType="begin"/>
      </w:r>
      <w:r>
        <w:instrText xml:space="preserve"> SEQ level0 \*arabic </w:instrText>
      </w:r>
      <w:r>
        <w:fldChar w:fldCharType="separate"/>
      </w:r>
      <w:r w:rsidR="00D21AD2">
        <w:rPr>
          <w:noProof/>
        </w:rPr>
        <w:t>39</w:t>
      </w:r>
      <w:r>
        <w:fldChar w:fldCharType="end"/>
      </w:r>
      <w:r>
        <w:t>.  </w:t>
      </w:r>
      <w:r w:rsidR="00EA5A28">
        <w:t>The applicants submit</w:t>
      </w:r>
      <w:r w:rsidR="00087583">
        <w:t>ted</w:t>
      </w:r>
      <w:r w:rsidR="00EA5A28">
        <w:t xml:space="preserve"> that severe restrictions had been placed on </w:t>
      </w:r>
      <w:r w:rsidR="000E0508">
        <w:t xml:space="preserve">them </w:t>
      </w:r>
      <w:r w:rsidR="00EA5A28">
        <w:t>meeting with their representatives. As a result, despite numerous attempts and complaints,</w:t>
      </w:r>
      <w:r w:rsidR="00807B20">
        <w:t xml:space="preserve"> </w:t>
      </w:r>
      <w:r w:rsidR="00EA5A28">
        <w:t>M.</w:t>
      </w:r>
      <w:r w:rsidR="00807B20">
        <w:t xml:space="preserve">A. </w:t>
      </w:r>
      <w:r w:rsidR="00EA5A28">
        <w:t>and L.M.</w:t>
      </w:r>
      <w:r w:rsidR="004C590F">
        <w:t xml:space="preserve"> only</w:t>
      </w:r>
      <w:r w:rsidR="00EA5A28">
        <w:t xml:space="preserve"> had </w:t>
      </w:r>
      <w:r w:rsidR="00A37CB8">
        <w:t xml:space="preserve">one </w:t>
      </w:r>
      <w:r w:rsidR="00EA5A28">
        <w:t xml:space="preserve">meeting with them on 17 December 2014. </w:t>
      </w:r>
      <w:r w:rsidR="0022234B">
        <w:t>M.</w:t>
      </w:r>
      <w:r w:rsidR="00807B20">
        <w:t>A.</w:t>
      </w:r>
      <w:r w:rsidR="0022234B">
        <w:t xml:space="preserve"> had one meeting with his brother and </w:t>
      </w:r>
      <w:proofErr w:type="spellStart"/>
      <w:r w:rsidR="0022234B">
        <w:t>Albina</w:t>
      </w:r>
      <w:proofErr w:type="spellEnd"/>
      <w:r w:rsidR="0022234B">
        <w:t xml:space="preserve"> A. on 22 October 2014, which lasted about ten minutes. </w:t>
      </w:r>
      <w:r w:rsidR="00EA5A28">
        <w:t xml:space="preserve">A.A. </w:t>
      </w:r>
      <w:r w:rsidR="004C590F">
        <w:t>did not meet</w:t>
      </w:r>
      <w:r w:rsidR="00EA5A28">
        <w:t xml:space="preserve"> with a representative prior to his escape from the detention centre (see para</w:t>
      </w:r>
      <w:r w:rsidR="00813853">
        <w:t>graph</w:t>
      </w:r>
      <w:r w:rsidR="00EA5A28">
        <w:t xml:space="preserve">s </w:t>
      </w:r>
      <w:r w:rsidR="00193071" w:rsidRPr="00965E4D">
        <w:t>20-23</w:t>
      </w:r>
      <w:r w:rsidR="00EA5A28">
        <w:t xml:space="preserve"> above).</w:t>
      </w:r>
    </w:p>
    <w:p w:rsidR="0071734C" w:rsidRDefault="0071734C" w:rsidP="0071734C">
      <w:pPr>
        <w:pStyle w:val="ECHRPara"/>
      </w:pPr>
      <w:r>
        <w:fldChar w:fldCharType="begin"/>
      </w:r>
      <w:r>
        <w:instrText xml:space="preserve"> SEQ level0 \*arabic </w:instrText>
      </w:r>
      <w:r>
        <w:fldChar w:fldCharType="separate"/>
      </w:r>
      <w:r w:rsidR="00D21AD2">
        <w:rPr>
          <w:noProof/>
        </w:rPr>
        <w:t>40</w:t>
      </w:r>
      <w:r>
        <w:fldChar w:fldCharType="end"/>
      </w:r>
      <w:r>
        <w:t>.  </w:t>
      </w:r>
      <w:r w:rsidR="008F467F">
        <w:t>The applicants</w:t>
      </w:r>
      <w:r w:rsidR="00087583">
        <w:t xml:space="preserve"> submitted copies</w:t>
      </w:r>
      <w:r w:rsidR="008F467F">
        <w:t xml:space="preserve"> of their </w:t>
      </w:r>
      <w:r w:rsidR="00087583">
        <w:t>exchange</w:t>
      </w:r>
      <w:r w:rsidR="008F467F">
        <w:t xml:space="preserve"> with various officials in the Kaluga FMS and </w:t>
      </w:r>
      <w:r w:rsidR="00813853">
        <w:t>p</w:t>
      </w:r>
      <w:r w:rsidR="008F467F">
        <w:t>rosecu</w:t>
      </w:r>
      <w:r w:rsidR="00087583">
        <w:t>tor</w:t>
      </w:r>
      <w:r w:rsidR="00BA3D89">
        <w:t>’</w:t>
      </w:r>
      <w:r w:rsidR="00087583">
        <w:t xml:space="preserve">s office </w:t>
      </w:r>
      <w:r w:rsidR="00813853">
        <w:t>regarding their</w:t>
      </w:r>
      <w:r w:rsidR="00087583">
        <w:t xml:space="preserve"> detention and access to representatives</w:t>
      </w:r>
      <w:r w:rsidR="008F467F">
        <w:t xml:space="preserve">. From these letters it </w:t>
      </w:r>
      <w:r w:rsidR="00813853">
        <w:t xml:space="preserve">appears </w:t>
      </w:r>
      <w:r w:rsidR="008F467F">
        <w:t>that on several occasio</w:t>
      </w:r>
      <w:r w:rsidR="00A17F08">
        <w:t>ns the applicants</w:t>
      </w:r>
      <w:r w:rsidR="00BA3D89">
        <w:t>’</w:t>
      </w:r>
      <w:r w:rsidR="00A17F08">
        <w:t xml:space="preserve"> two lawyers</w:t>
      </w:r>
      <w:r w:rsidR="003232C9">
        <w:t>,</w:t>
      </w:r>
      <w:r w:rsidR="00A17F08">
        <w:t xml:space="preserve"> </w:t>
      </w:r>
      <w:r w:rsidR="00625D44">
        <w:t>Ms</w:t>
      </w:r>
      <w:r w:rsidR="00A17F08">
        <w:t xml:space="preserve"> </w:t>
      </w:r>
      <w:proofErr w:type="spellStart"/>
      <w:r w:rsidR="00A17F08">
        <w:t>Golov</w:t>
      </w:r>
      <w:r w:rsidR="003407AB">
        <w:t>anchuk</w:t>
      </w:r>
      <w:proofErr w:type="spellEnd"/>
      <w:r w:rsidR="00A17F08">
        <w:t xml:space="preserve"> and </w:t>
      </w:r>
      <w:r w:rsidR="00625D44">
        <w:t>Ms</w:t>
      </w:r>
      <w:r w:rsidR="00965E4D">
        <w:t> </w:t>
      </w:r>
      <w:proofErr w:type="spellStart"/>
      <w:r w:rsidR="00A17F08">
        <w:t>Yermolayeva</w:t>
      </w:r>
      <w:proofErr w:type="spellEnd"/>
      <w:r w:rsidR="00A17F08">
        <w:t>, a lawyer of the Kaluga Bar Asso</w:t>
      </w:r>
      <w:r w:rsidR="002E776F">
        <w:t>c</w:t>
      </w:r>
      <w:r w:rsidR="00A17F08">
        <w:t>iation</w:t>
      </w:r>
      <w:r w:rsidR="003232C9">
        <w:t>,</w:t>
      </w:r>
      <w:r w:rsidR="00A17F08">
        <w:t xml:space="preserve"> Mr P.K., a member of the Kaluga branch of the Human Rights Centre Memorial</w:t>
      </w:r>
      <w:r w:rsidR="002A1D84">
        <w:t xml:space="preserve"> </w:t>
      </w:r>
      <w:r w:rsidR="002A1D84" w:rsidRPr="00687145">
        <w:t>who had assisted the applicants with their complaints</w:t>
      </w:r>
      <w:r w:rsidR="003232C9" w:rsidRPr="00687145">
        <w:t>,</w:t>
      </w:r>
      <w:r w:rsidR="008A7596">
        <w:t xml:space="preserve"> </w:t>
      </w:r>
      <w:r w:rsidR="00625D44">
        <w:t>Ms</w:t>
      </w:r>
      <w:r w:rsidR="008A7596">
        <w:t> </w:t>
      </w:r>
      <w:proofErr w:type="spellStart"/>
      <w:r w:rsidR="00A17F08">
        <w:t>Lyubov</w:t>
      </w:r>
      <w:proofErr w:type="spellEnd"/>
      <w:r w:rsidR="00A17F08">
        <w:t xml:space="preserve"> M.-E.</w:t>
      </w:r>
      <w:r w:rsidR="003232C9">
        <w:t>,</w:t>
      </w:r>
      <w:r w:rsidR="00A17F08">
        <w:t xml:space="preserve"> </w:t>
      </w:r>
      <w:r w:rsidR="003232C9">
        <w:t xml:space="preserve">as well as </w:t>
      </w:r>
      <w:r w:rsidR="00807B20">
        <w:t>M.A.</w:t>
      </w:r>
      <w:r w:rsidR="00BA3D89">
        <w:t>’</w:t>
      </w:r>
      <w:r w:rsidR="00EF3A57">
        <w:t>s brother and his wife</w:t>
      </w:r>
      <w:r w:rsidR="004C590F">
        <w:t>,</w:t>
      </w:r>
      <w:r w:rsidR="00EF3A57">
        <w:t xml:space="preserve"> wrote to these agencies </w:t>
      </w:r>
      <w:r w:rsidR="003232C9">
        <w:t xml:space="preserve">regarding </w:t>
      </w:r>
      <w:r w:rsidR="004C590F">
        <w:t>a</w:t>
      </w:r>
      <w:r w:rsidR="00EF3A57">
        <w:t xml:space="preserve"> lack of access to </w:t>
      </w:r>
      <w:r w:rsidR="003232C9">
        <w:t xml:space="preserve">the detention centre </w:t>
      </w:r>
      <w:r w:rsidR="00EF3A57">
        <w:t xml:space="preserve">and the conditions of detention of </w:t>
      </w:r>
      <w:r w:rsidR="003232C9">
        <w:t xml:space="preserve">people </w:t>
      </w:r>
      <w:r w:rsidR="00EF3A57">
        <w:t xml:space="preserve">detained </w:t>
      </w:r>
      <w:r w:rsidR="003232C9">
        <w:t>there</w:t>
      </w:r>
      <w:r w:rsidR="00EF3A57">
        <w:t xml:space="preserve">. </w:t>
      </w:r>
      <w:r w:rsidR="003232C9">
        <w:t xml:space="preserve">Their </w:t>
      </w:r>
      <w:r w:rsidR="000A14F6">
        <w:t>exchange</w:t>
      </w:r>
      <w:r w:rsidR="003232C9">
        <w:t>s</w:t>
      </w:r>
      <w:r w:rsidR="000A14F6">
        <w:t xml:space="preserve"> </w:t>
      </w:r>
      <w:r w:rsidR="003232C9">
        <w:t xml:space="preserve">may </w:t>
      </w:r>
      <w:r w:rsidR="000A14F6">
        <w:t>be summarised as follows.</w:t>
      </w:r>
    </w:p>
    <w:p w:rsidR="000A14F6" w:rsidRDefault="000A14F6" w:rsidP="000A14F6">
      <w:pPr>
        <w:pStyle w:val="ECHRHeading3"/>
      </w:pPr>
      <w:r>
        <w:t xml:space="preserve">1.  Detention </w:t>
      </w:r>
      <w:r w:rsidR="001F745F">
        <w:t>in</w:t>
      </w:r>
      <w:r w:rsidR="003232C9">
        <w:t xml:space="preserve"> </w:t>
      </w:r>
      <w:r>
        <w:t>April – October 2014</w:t>
      </w:r>
    </w:p>
    <w:p w:rsidR="009E1BDD" w:rsidRDefault="00EF3A57" w:rsidP="0071734C">
      <w:pPr>
        <w:pStyle w:val="ECHRPara"/>
      </w:pPr>
      <w:r>
        <w:fldChar w:fldCharType="begin"/>
      </w:r>
      <w:r>
        <w:instrText xml:space="preserve"> SEQ level0 \*arabic </w:instrText>
      </w:r>
      <w:r>
        <w:fldChar w:fldCharType="separate"/>
      </w:r>
      <w:r w:rsidR="00D21AD2">
        <w:rPr>
          <w:noProof/>
        </w:rPr>
        <w:t>41</w:t>
      </w:r>
      <w:r>
        <w:fldChar w:fldCharType="end"/>
      </w:r>
      <w:r>
        <w:t xml:space="preserve">.  On 3 March 2014 the </w:t>
      </w:r>
      <w:r w:rsidR="00087583">
        <w:t xml:space="preserve">head of the </w:t>
      </w:r>
      <w:r>
        <w:t>de</w:t>
      </w:r>
      <w:r w:rsidR="008A7596">
        <w:t xml:space="preserve">tention centre responded to </w:t>
      </w:r>
      <w:r w:rsidR="00625D44">
        <w:t>Ms</w:t>
      </w:r>
      <w:r w:rsidR="008A7596">
        <w:t> </w:t>
      </w:r>
      <w:proofErr w:type="spellStart"/>
      <w:r>
        <w:t>Lyubov</w:t>
      </w:r>
      <w:proofErr w:type="spellEnd"/>
      <w:r>
        <w:t xml:space="preserve"> M.-E.</w:t>
      </w:r>
      <w:r w:rsidR="004C590F">
        <w:t>, stating</w:t>
      </w:r>
      <w:r>
        <w:t xml:space="preserve"> that visits by lawyers and human rights defenders were possible daily </w:t>
      </w:r>
      <w:r w:rsidR="003232C9">
        <w:t xml:space="preserve">between </w:t>
      </w:r>
      <w:r>
        <w:t>11</w:t>
      </w:r>
      <w:r w:rsidR="003232C9">
        <w:t>.</w:t>
      </w:r>
      <w:r>
        <w:t>30</w:t>
      </w:r>
      <w:r w:rsidR="004C590F">
        <w:t> a.m.</w:t>
      </w:r>
      <w:r w:rsidR="003232C9">
        <w:t xml:space="preserve"> and</w:t>
      </w:r>
      <w:r>
        <w:t xml:space="preserve"> 12</w:t>
      </w:r>
      <w:r w:rsidR="000B0266">
        <w:t>.</w:t>
      </w:r>
      <w:r>
        <w:t>30</w:t>
      </w:r>
      <w:r w:rsidR="00807B20">
        <w:t> </w:t>
      </w:r>
      <w:r w:rsidR="008A7596">
        <w:t>p.m. On 14 </w:t>
      </w:r>
      <w:r>
        <w:t>April 2014 the Kaluga FMS informed the regional prosecutor</w:t>
      </w:r>
      <w:r w:rsidR="00BA3D89">
        <w:t>’</w:t>
      </w:r>
      <w:r>
        <w:t xml:space="preserve">s office that visits by representatives, relatives and human rights defenders were possible upon </w:t>
      </w:r>
      <w:r w:rsidR="00B30413">
        <w:t xml:space="preserve">the </w:t>
      </w:r>
      <w:r>
        <w:t>written reque</w:t>
      </w:r>
      <w:r w:rsidR="00087583">
        <w:t xml:space="preserve">st </w:t>
      </w:r>
      <w:r w:rsidR="00B30413">
        <w:t>of</w:t>
      </w:r>
      <w:r w:rsidR="00087583">
        <w:t xml:space="preserve"> detainees, or upon </w:t>
      </w:r>
      <w:r w:rsidR="00B30413">
        <w:t xml:space="preserve">the </w:t>
      </w:r>
      <w:r>
        <w:t>written request of</w:t>
      </w:r>
      <w:r w:rsidR="00B30413">
        <w:t xml:space="preserve"> their</w:t>
      </w:r>
      <w:r>
        <w:t xml:space="preserve"> representatives or human rights defenders</w:t>
      </w:r>
      <w:r w:rsidR="00B30413">
        <w:t xml:space="preserve"> if</w:t>
      </w:r>
      <w:r>
        <w:t xml:space="preserve"> accompanied by a written request </w:t>
      </w:r>
      <w:r w:rsidR="00B30413">
        <w:t xml:space="preserve">by </w:t>
      </w:r>
      <w:r>
        <w:t xml:space="preserve">the detainee for legal assistance </w:t>
      </w:r>
      <w:r w:rsidR="00B30413">
        <w:t xml:space="preserve">from </w:t>
      </w:r>
      <w:r>
        <w:t xml:space="preserve">them. Visits outside of </w:t>
      </w:r>
      <w:r w:rsidR="004C590F">
        <w:t>normal</w:t>
      </w:r>
      <w:r>
        <w:t xml:space="preserve"> visiting hours </w:t>
      </w:r>
      <w:r w:rsidR="00B30413">
        <w:t xml:space="preserve">had to </w:t>
      </w:r>
      <w:r>
        <w:t xml:space="preserve">be agreed in advance with the detention centre administration, to ensure </w:t>
      </w:r>
      <w:r w:rsidR="00B30413">
        <w:t xml:space="preserve">the </w:t>
      </w:r>
      <w:r>
        <w:t xml:space="preserve">proper functioning of the centre. If </w:t>
      </w:r>
      <w:r w:rsidR="00611A21">
        <w:t>a</w:t>
      </w:r>
      <w:r>
        <w:t xml:space="preserve"> detainee </w:t>
      </w:r>
      <w:r w:rsidR="008B1436">
        <w:t>requested</w:t>
      </w:r>
      <w:r>
        <w:t xml:space="preserve"> in writing to be represented by </w:t>
      </w:r>
      <w:r w:rsidR="00611A21">
        <w:t xml:space="preserve">anyone, the centre would consider the </w:t>
      </w:r>
      <w:r w:rsidR="00B30413">
        <w:t xml:space="preserve">issue </w:t>
      </w:r>
      <w:r w:rsidR="00611A21">
        <w:t xml:space="preserve">of ensuring a visit </w:t>
      </w:r>
      <w:r w:rsidR="00B30413">
        <w:t xml:space="preserve">from </w:t>
      </w:r>
      <w:r w:rsidR="00611A21">
        <w:t>the representative, accomp</w:t>
      </w:r>
      <w:r w:rsidR="009E3748">
        <w:t>anied by a notary, to certify a power of attorney.</w:t>
      </w:r>
    </w:p>
    <w:p w:rsidR="009E1BDD" w:rsidRDefault="00076645" w:rsidP="0071734C">
      <w:pPr>
        <w:pStyle w:val="ECHRPara"/>
      </w:pPr>
      <w:r>
        <w:lastRenderedPageBreak/>
        <w:fldChar w:fldCharType="begin"/>
      </w:r>
      <w:r>
        <w:instrText xml:space="preserve"> SEQ level0 \*arabic </w:instrText>
      </w:r>
      <w:r>
        <w:fldChar w:fldCharType="separate"/>
      </w:r>
      <w:r w:rsidR="00D21AD2">
        <w:rPr>
          <w:noProof/>
        </w:rPr>
        <w:t>42</w:t>
      </w:r>
      <w:r>
        <w:fldChar w:fldCharType="end"/>
      </w:r>
      <w:r>
        <w:t>.  On 25 April 2014 L.</w:t>
      </w:r>
      <w:r w:rsidR="008B1436">
        <w:t>M.</w:t>
      </w:r>
      <w:r w:rsidR="00BA3D89">
        <w:t>’</w:t>
      </w:r>
      <w:r>
        <w:t xml:space="preserve">s lawyer wrote to the Kaluga </w:t>
      </w:r>
      <w:r w:rsidR="00B30413">
        <w:t>r</w:t>
      </w:r>
      <w:r>
        <w:t xml:space="preserve">egional </w:t>
      </w:r>
      <w:r w:rsidR="00813853">
        <w:t>p</w:t>
      </w:r>
      <w:r>
        <w:t>rosecutor</w:t>
      </w:r>
      <w:r w:rsidR="00BA3D89">
        <w:t>’</w:t>
      </w:r>
      <w:r>
        <w:t xml:space="preserve">s office. </w:t>
      </w:r>
      <w:r w:rsidR="00087583">
        <w:t>She</w:t>
      </w:r>
      <w:r>
        <w:t xml:space="preserve"> pointed out that the applicant had been refused access to his representatives</w:t>
      </w:r>
      <w:r w:rsidR="00B30413">
        <w:t>, and</w:t>
      </w:r>
      <w:r>
        <w:t xml:space="preserve"> that the conditions of detention at the </w:t>
      </w:r>
      <w:r w:rsidR="00B30413">
        <w:t>d</w:t>
      </w:r>
      <w:r>
        <w:t xml:space="preserve">etention centre </w:t>
      </w:r>
      <w:r w:rsidR="00F61EE7">
        <w:t>were</w:t>
      </w:r>
      <w:r>
        <w:t xml:space="preserve"> harsher than for </w:t>
      </w:r>
      <w:r w:rsidR="00B30413">
        <w:t>people</w:t>
      </w:r>
      <w:r>
        <w:t xml:space="preserve"> who had been detained </w:t>
      </w:r>
      <w:r w:rsidR="00B30413">
        <w:t xml:space="preserve">on </w:t>
      </w:r>
      <w:r>
        <w:t xml:space="preserve">criminal charges. </w:t>
      </w:r>
      <w:r w:rsidR="00B30413">
        <w:t>D</w:t>
      </w:r>
      <w:r>
        <w:t xml:space="preserve">etainees were kept in </w:t>
      </w:r>
      <w:r w:rsidR="00087583">
        <w:t xml:space="preserve">their rooms for </w:t>
      </w:r>
      <w:r>
        <w:t>most of the day</w:t>
      </w:r>
      <w:r w:rsidR="00661554">
        <w:t>;</w:t>
      </w:r>
      <w:r>
        <w:t xml:space="preserve"> they had no </w:t>
      </w:r>
      <w:r w:rsidR="00C8266B">
        <w:t>means of</w:t>
      </w:r>
      <w:r>
        <w:t xml:space="preserve"> communication </w:t>
      </w:r>
      <w:r w:rsidR="00C8266B">
        <w:t xml:space="preserve">with anybody and </w:t>
      </w:r>
      <w:r>
        <w:t xml:space="preserve">could not contact each other or their representatives. The letter further stressed the absence of </w:t>
      </w:r>
      <w:r w:rsidR="00661554">
        <w:t xml:space="preserve">any </w:t>
      </w:r>
      <w:r w:rsidR="00C8266B">
        <w:t xml:space="preserve">flight </w:t>
      </w:r>
      <w:r>
        <w:t xml:space="preserve">connection with Syria and </w:t>
      </w:r>
      <w:r w:rsidR="00661554">
        <w:t xml:space="preserve">the </w:t>
      </w:r>
      <w:r>
        <w:t xml:space="preserve">impossibility </w:t>
      </w:r>
      <w:r w:rsidR="00661554">
        <w:t xml:space="preserve">of </w:t>
      </w:r>
      <w:r>
        <w:t>expel</w:t>
      </w:r>
      <w:r w:rsidR="00661554">
        <w:t>ling</w:t>
      </w:r>
      <w:r>
        <w:t xml:space="preserve"> the applicant</w:t>
      </w:r>
      <w:r w:rsidR="00661554">
        <w:t xml:space="preserve"> there</w:t>
      </w:r>
      <w:r>
        <w:t>.</w:t>
      </w:r>
    </w:p>
    <w:p w:rsidR="009E1BDD" w:rsidRDefault="009E3748" w:rsidP="0071734C">
      <w:pPr>
        <w:pStyle w:val="ECHRPara"/>
      </w:pPr>
      <w:r>
        <w:fldChar w:fldCharType="begin"/>
      </w:r>
      <w:r>
        <w:instrText xml:space="preserve"> SEQ level0 \*arabic </w:instrText>
      </w:r>
      <w:r>
        <w:fldChar w:fldCharType="separate"/>
      </w:r>
      <w:r w:rsidR="00D21AD2">
        <w:rPr>
          <w:noProof/>
        </w:rPr>
        <w:t>43</w:t>
      </w:r>
      <w:r>
        <w:fldChar w:fldCharType="end"/>
      </w:r>
      <w:r>
        <w:t>.  On 17 May 2014 the Kaluga FMS informed the regional prosecutor</w:t>
      </w:r>
      <w:r w:rsidR="00BA3D89">
        <w:t>’</w:t>
      </w:r>
      <w:r>
        <w:t xml:space="preserve">s office that </w:t>
      </w:r>
      <w:r w:rsidR="00C81169">
        <w:t xml:space="preserve">on 24 April 2014 </w:t>
      </w:r>
      <w:r w:rsidR="00625D44">
        <w:t>Ms</w:t>
      </w:r>
      <w:r w:rsidR="00C81169">
        <w:t xml:space="preserve"> </w:t>
      </w:r>
      <w:proofErr w:type="spellStart"/>
      <w:r w:rsidR="00C81169">
        <w:t>Lyubov</w:t>
      </w:r>
      <w:proofErr w:type="spellEnd"/>
      <w:r w:rsidR="00C81169">
        <w:t xml:space="preserve"> M.-E. </w:t>
      </w:r>
      <w:proofErr w:type="gramStart"/>
      <w:r w:rsidR="00661554">
        <w:t>had</w:t>
      </w:r>
      <w:proofErr w:type="gramEnd"/>
      <w:r w:rsidR="00661554">
        <w:t xml:space="preserve"> </w:t>
      </w:r>
      <w:r w:rsidR="00C81169">
        <w:t xml:space="preserve">asked to </w:t>
      </w:r>
      <w:r w:rsidR="00632462">
        <w:t xml:space="preserve">be </w:t>
      </w:r>
      <w:r w:rsidR="00C81169">
        <w:t>allow</w:t>
      </w:r>
      <w:r w:rsidR="00632462">
        <w:t>ed</w:t>
      </w:r>
      <w:r w:rsidR="00C81169">
        <w:t xml:space="preserve"> to meet with </w:t>
      </w:r>
      <w:r w:rsidR="00ED224B">
        <w:t xml:space="preserve">the </w:t>
      </w:r>
      <w:r w:rsidR="00C81169">
        <w:t xml:space="preserve">three applicants </w:t>
      </w:r>
      <w:r w:rsidR="00661554">
        <w:t>and</w:t>
      </w:r>
      <w:r w:rsidR="00C81169">
        <w:t xml:space="preserve"> an Uzbek national</w:t>
      </w:r>
      <w:r w:rsidR="00661554">
        <w:t>,</w:t>
      </w:r>
      <w:r w:rsidR="00C81169">
        <w:t xml:space="preserve"> T. The staff of the centre </w:t>
      </w:r>
      <w:r w:rsidR="00F61EE7">
        <w:t xml:space="preserve">had </w:t>
      </w:r>
      <w:r w:rsidR="00C81169">
        <w:t>refused to allow her to meet with the applicants, since she had no</w:t>
      </w:r>
      <w:r w:rsidR="00F61EE7">
        <w:t xml:space="preserve">t had </w:t>
      </w:r>
      <w:r w:rsidR="00216D53">
        <w:t>an</w:t>
      </w:r>
      <w:r w:rsidR="00C81169">
        <w:t xml:space="preserve"> </w:t>
      </w:r>
      <w:r w:rsidR="004A3F2A">
        <w:t xml:space="preserve">interpreter present and could not communicate with them. She </w:t>
      </w:r>
      <w:r w:rsidR="00F61EE7">
        <w:t xml:space="preserve">had </w:t>
      </w:r>
      <w:r w:rsidR="004A3F2A">
        <w:t xml:space="preserve">attempted to pass documents in Russian </w:t>
      </w:r>
      <w:r w:rsidR="00661554">
        <w:t xml:space="preserve">to </w:t>
      </w:r>
      <w:r w:rsidR="004A3F2A">
        <w:t>the applicants (complaints against the domestic court decisions) through T., but the</w:t>
      </w:r>
      <w:r w:rsidR="002E776F">
        <w:t>y</w:t>
      </w:r>
      <w:r w:rsidR="004A3F2A">
        <w:t xml:space="preserve"> </w:t>
      </w:r>
      <w:r w:rsidR="00F61EE7">
        <w:t>had been</w:t>
      </w:r>
      <w:r w:rsidR="004A3F2A">
        <w:t xml:space="preserve"> found by the detention centre staff. </w:t>
      </w:r>
      <w:r w:rsidR="00625D44">
        <w:t>Ms</w:t>
      </w:r>
      <w:r w:rsidR="004A3F2A">
        <w:t xml:space="preserve"> </w:t>
      </w:r>
      <w:proofErr w:type="spellStart"/>
      <w:r w:rsidR="004A3F2A">
        <w:t>Lyubov</w:t>
      </w:r>
      <w:proofErr w:type="spellEnd"/>
      <w:r w:rsidR="004A3F2A">
        <w:t xml:space="preserve"> M.-E. </w:t>
      </w:r>
      <w:proofErr w:type="gramStart"/>
      <w:r w:rsidR="00F61EE7">
        <w:t>had</w:t>
      </w:r>
      <w:proofErr w:type="gramEnd"/>
      <w:r w:rsidR="00F61EE7">
        <w:t xml:space="preserve"> been</w:t>
      </w:r>
      <w:r w:rsidR="004A3F2A">
        <w:t xml:space="preserve"> reminded to </w:t>
      </w:r>
      <w:r w:rsidR="00087583">
        <w:t>come back accompanied</w:t>
      </w:r>
      <w:r w:rsidR="004A3F2A">
        <w:t xml:space="preserve"> </w:t>
      </w:r>
      <w:r w:rsidR="00087583">
        <w:t>by</w:t>
      </w:r>
      <w:r w:rsidR="004A3F2A">
        <w:t xml:space="preserve"> an interpreter. Furthermore, the detainees had signed documents refusing to meet with </w:t>
      </w:r>
      <w:r w:rsidR="00625D44">
        <w:t>Ms</w:t>
      </w:r>
      <w:r w:rsidR="004A3F2A">
        <w:t xml:space="preserve"> </w:t>
      </w:r>
      <w:proofErr w:type="spellStart"/>
      <w:r w:rsidR="004A3F2A">
        <w:t>Lyubov</w:t>
      </w:r>
      <w:proofErr w:type="spellEnd"/>
      <w:r w:rsidR="004A3F2A">
        <w:t xml:space="preserve"> M.-E. </w:t>
      </w:r>
      <w:proofErr w:type="gramStart"/>
      <w:r w:rsidR="004A3F2A">
        <w:t>since</w:t>
      </w:r>
      <w:proofErr w:type="gramEnd"/>
      <w:r w:rsidR="004A3F2A">
        <w:t xml:space="preserve"> she had </w:t>
      </w:r>
      <w:r w:rsidR="00661554">
        <w:t>asked</w:t>
      </w:r>
      <w:r w:rsidR="004A3F2A">
        <w:t xml:space="preserve"> them</w:t>
      </w:r>
      <w:r w:rsidR="00661554">
        <w:t xml:space="preserve"> for</w:t>
      </w:r>
      <w:r w:rsidR="004A3F2A">
        <w:t xml:space="preserve"> money for her services.</w:t>
      </w:r>
    </w:p>
    <w:p w:rsidR="009E1BDD" w:rsidRDefault="00A76031" w:rsidP="0071734C">
      <w:pPr>
        <w:pStyle w:val="ECHRPara"/>
      </w:pPr>
      <w:r w:rsidRPr="00F67E04">
        <w:fldChar w:fldCharType="begin"/>
      </w:r>
      <w:r w:rsidRPr="00F67E04">
        <w:instrText xml:space="preserve"> SEQ level0 \*arabic </w:instrText>
      </w:r>
      <w:r w:rsidRPr="00F67E04">
        <w:fldChar w:fldCharType="separate"/>
      </w:r>
      <w:r w:rsidR="00D21AD2">
        <w:rPr>
          <w:noProof/>
        </w:rPr>
        <w:t>44</w:t>
      </w:r>
      <w:r w:rsidRPr="00F67E04">
        <w:fldChar w:fldCharType="end"/>
      </w:r>
      <w:r w:rsidRPr="00F67E04">
        <w:t>.  On 26 May 2014</w:t>
      </w:r>
      <w:r>
        <w:t xml:space="preserve"> </w:t>
      </w:r>
      <w:r w:rsidR="00E81496">
        <w:t xml:space="preserve">the head of the NGO Civic Assistance wrote to the </w:t>
      </w:r>
      <w:r w:rsidR="00C8266B">
        <w:t xml:space="preserve">Moscow </w:t>
      </w:r>
      <w:r w:rsidR="00E81496">
        <w:t>FMS. She pointed out that the applicants</w:t>
      </w:r>
      <w:r w:rsidR="00BA3D89">
        <w:t>’</w:t>
      </w:r>
      <w:r w:rsidR="00E81496">
        <w:t xml:space="preserve"> confinement </w:t>
      </w:r>
      <w:r w:rsidR="00C8266B">
        <w:t>in</w:t>
      </w:r>
      <w:r w:rsidR="00E81496">
        <w:t xml:space="preserve"> the detention centre appeared unlawful in </w:t>
      </w:r>
      <w:r w:rsidR="00F67E04">
        <w:t>the</w:t>
      </w:r>
      <w:r w:rsidR="00E81496">
        <w:t xml:space="preserve"> absence of</w:t>
      </w:r>
      <w:r w:rsidR="00661554">
        <w:t xml:space="preserve"> any</w:t>
      </w:r>
      <w:r w:rsidR="00E81496">
        <w:t xml:space="preserve"> </w:t>
      </w:r>
      <w:r w:rsidR="00087583">
        <w:t>time-limit</w:t>
      </w:r>
      <w:r w:rsidR="00E81496">
        <w:t xml:space="preserve"> or purpose, </w:t>
      </w:r>
      <w:r w:rsidR="00F67E04">
        <w:t xml:space="preserve">since the </w:t>
      </w:r>
      <w:r w:rsidR="00E81496">
        <w:t>expulsion</w:t>
      </w:r>
      <w:r w:rsidR="00F67E04">
        <w:t xml:space="preserve"> could not be carried out</w:t>
      </w:r>
      <w:r w:rsidR="00E81496">
        <w:t xml:space="preserve">. She further pointed to the </w:t>
      </w:r>
      <w:r w:rsidR="00E828BF">
        <w:t>fact that the applicants had submitted applications for temporary asylum</w:t>
      </w:r>
      <w:r w:rsidR="002E776F">
        <w:t>, and</w:t>
      </w:r>
      <w:r w:rsidR="00E828BF">
        <w:t xml:space="preserve"> that their conditions of detention were inhuman and degrading</w:t>
      </w:r>
      <w:r w:rsidR="00ED224B">
        <w:t>,</w:t>
      </w:r>
      <w:r w:rsidR="00E828BF">
        <w:t xml:space="preserve"> since </w:t>
      </w:r>
      <w:r w:rsidR="00F67E04">
        <w:t xml:space="preserve">the food was </w:t>
      </w:r>
      <w:r w:rsidR="00087583">
        <w:t xml:space="preserve">of </w:t>
      </w:r>
      <w:r w:rsidR="00F67E04">
        <w:t xml:space="preserve">poor </w:t>
      </w:r>
      <w:r w:rsidR="00087583">
        <w:t xml:space="preserve">quality </w:t>
      </w:r>
      <w:r w:rsidR="00F67E04">
        <w:t xml:space="preserve">and they had </w:t>
      </w:r>
      <w:r w:rsidR="00E828BF">
        <w:t>little access to fresh air</w:t>
      </w:r>
      <w:r w:rsidR="00F67E04">
        <w:t>,</w:t>
      </w:r>
      <w:r w:rsidR="00E828BF">
        <w:t xml:space="preserve"> outdoor exercise, </w:t>
      </w:r>
      <w:r w:rsidR="00E828BF" w:rsidRPr="006C2AE4">
        <w:t>meaningful activities</w:t>
      </w:r>
      <w:r w:rsidR="00E828BF">
        <w:t xml:space="preserve"> </w:t>
      </w:r>
      <w:r w:rsidR="00661554">
        <w:t xml:space="preserve">or </w:t>
      </w:r>
      <w:r w:rsidR="00E828BF">
        <w:t xml:space="preserve">information. The letter further stated that the detention centre staff </w:t>
      </w:r>
      <w:r w:rsidR="00F67E04">
        <w:t xml:space="preserve">had </w:t>
      </w:r>
      <w:r w:rsidR="00E828BF">
        <w:t>threatened and harassed detainees</w:t>
      </w:r>
      <w:r w:rsidR="000C47ED">
        <w:t>,</w:t>
      </w:r>
      <w:r w:rsidR="00E828BF">
        <w:t xml:space="preserve"> and that the applicants had been </w:t>
      </w:r>
      <w:r w:rsidR="000C47ED">
        <w:t>pressed</w:t>
      </w:r>
      <w:r w:rsidR="00E828BF">
        <w:t xml:space="preserve"> to withdraw their applications</w:t>
      </w:r>
      <w:r w:rsidR="00087583">
        <w:t xml:space="preserve"> for asylum</w:t>
      </w:r>
      <w:r w:rsidR="00E828BF">
        <w:t>. The letter</w:t>
      </w:r>
      <w:r w:rsidR="00F61EE7">
        <w:t xml:space="preserve"> also</w:t>
      </w:r>
      <w:r w:rsidR="00E828BF">
        <w:t xml:space="preserve"> referred to </w:t>
      </w:r>
      <w:r w:rsidR="00F67E04">
        <w:t xml:space="preserve">the difficulties </w:t>
      </w:r>
      <w:r w:rsidR="00087583">
        <w:t>in</w:t>
      </w:r>
      <w:r w:rsidR="00F67E04">
        <w:t xml:space="preserve"> meeting </w:t>
      </w:r>
      <w:r w:rsidR="00404E60">
        <w:t>the inmates</w:t>
      </w:r>
      <w:r w:rsidR="00F67E04">
        <w:t>.</w:t>
      </w:r>
    </w:p>
    <w:p w:rsidR="009E1BDD" w:rsidRDefault="002E3BCF" w:rsidP="0071734C">
      <w:pPr>
        <w:pStyle w:val="ECHRPara"/>
      </w:pPr>
      <w:r>
        <w:fldChar w:fldCharType="begin"/>
      </w:r>
      <w:r>
        <w:instrText xml:space="preserve"> SEQ level0 \*arabic </w:instrText>
      </w:r>
      <w:r>
        <w:fldChar w:fldCharType="separate"/>
      </w:r>
      <w:r w:rsidR="00D21AD2">
        <w:rPr>
          <w:noProof/>
        </w:rPr>
        <w:t>45</w:t>
      </w:r>
      <w:r>
        <w:fldChar w:fldCharType="end"/>
      </w:r>
      <w:r>
        <w:t>.  On 10 June 2014 the applicants</w:t>
      </w:r>
      <w:r w:rsidR="00BA3D89">
        <w:t>’</w:t>
      </w:r>
      <w:r>
        <w:t xml:space="preserve"> lawyers submitted a letter to the Prosecutor </w:t>
      </w:r>
      <w:r w:rsidR="00813853">
        <w:t>General</w:t>
      </w:r>
      <w:r w:rsidR="00BA3D89">
        <w:t>’</w:t>
      </w:r>
      <w:r w:rsidR="00813853">
        <w:t xml:space="preserve">s </w:t>
      </w:r>
      <w:r>
        <w:t xml:space="preserve">Office, with copies to the Kaluga </w:t>
      </w:r>
      <w:r w:rsidR="00661554">
        <w:t>r</w:t>
      </w:r>
      <w:r>
        <w:t xml:space="preserve">egional </w:t>
      </w:r>
      <w:r w:rsidR="00541AF6">
        <w:t>p</w:t>
      </w:r>
      <w:r>
        <w:t>rosecutor</w:t>
      </w:r>
      <w:r w:rsidR="00BA3D89">
        <w:t>’</w:t>
      </w:r>
      <w:r>
        <w:t xml:space="preserve">s </w:t>
      </w:r>
      <w:r w:rsidR="00541AF6">
        <w:t>o</w:t>
      </w:r>
      <w:r>
        <w:t xml:space="preserve">ffice and FMS. </w:t>
      </w:r>
      <w:r w:rsidR="00076645">
        <w:t>They pointed out that the applicants</w:t>
      </w:r>
      <w:r w:rsidR="00BA3D89">
        <w:t>’</w:t>
      </w:r>
      <w:r w:rsidR="00076645">
        <w:t xml:space="preserve"> conditions of detention amounted to </w:t>
      </w:r>
      <w:r w:rsidR="00404E60">
        <w:t>inhuman and degrading</w:t>
      </w:r>
      <w:r w:rsidR="002E776F">
        <w:t xml:space="preserve"> treatment</w:t>
      </w:r>
      <w:r w:rsidR="00076645">
        <w:t xml:space="preserve">. </w:t>
      </w:r>
      <w:r w:rsidR="00807B20">
        <w:t>M.A.</w:t>
      </w:r>
      <w:r w:rsidR="00076645">
        <w:t xml:space="preserve"> </w:t>
      </w:r>
      <w:r w:rsidR="002E776F">
        <w:t xml:space="preserve">had </w:t>
      </w:r>
      <w:r w:rsidR="00076645">
        <w:t xml:space="preserve">been diagnosed with pneumonia, but </w:t>
      </w:r>
      <w:r w:rsidR="002E776F">
        <w:t xml:space="preserve">had </w:t>
      </w:r>
      <w:r w:rsidR="00C8266B">
        <w:t xml:space="preserve">not </w:t>
      </w:r>
      <w:r w:rsidR="00076645">
        <w:t>received adequate medical help. The applicants</w:t>
      </w:r>
      <w:r w:rsidR="000A14F6">
        <w:t xml:space="preserve"> had been </w:t>
      </w:r>
      <w:r w:rsidR="00076645">
        <w:t xml:space="preserve">unable to meet with </w:t>
      </w:r>
      <w:r w:rsidR="00404E60">
        <w:t xml:space="preserve">their </w:t>
      </w:r>
      <w:r w:rsidR="00076645">
        <w:t>relatives and representatives. The food was of poor quality</w:t>
      </w:r>
      <w:r w:rsidR="00C8266B">
        <w:t>,</w:t>
      </w:r>
      <w:r w:rsidR="00076645">
        <w:t xml:space="preserve"> consisted mostly of cereals</w:t>
      </w:r>
      <w:r w:rsidR="002E776F">
        <w:t xml:space="preserve"> and</w:t>
      </w:r>
      <w:r w:rsidR="00076645">
        <w:t xml:space="preserve"> was often served cold. The applicants complained </w:t>
      </w:r>
      <w:r w:rsidR="00C8266B">
        <w:t>that they had been</w:t>
      </w:r>
      <w:r w:rsidR="00076645">
        <w:t xml:space="preserve"> </w:t>
      </w:r>
      <w:r w:rsidR="002E776F">
        <w:t xml:space="preserve">harassed </w:t>
      </w:r>
      <w:r w:rsidR="00076645">
        <w:t xml:space="preserve">and </w:t>
      </w:r>
      <w:r w:rsidR="002E776F">
        <w:t>threatened by</w:t>
      </w:r>
      <w:r w:rsidR="00076645">
        <w:t xml:space="preserve"> the staff</w:t>
      </w:r>
      <w:r w:rsidR="002E776F">
        <w:t xml:space="preserve">, </w:t>
      </w:r>
      <w:r w:rsidR="00076645">
        <w:t>threatened with reprisals if they complained</w:t>
      </w:r>
      <w:r w:rsidR="002E776F">
        <w:t>, and</w:t>
      </w:r>
      <w:r w:rsidR="00C8266B">
        <w:t xml:space="preserve"> </w:t>
      </w:r>
      <w:r w:rsidR="00076645">
        <w:t>encouraged to withdraw their applications for asylum</w:t>
      </w:r>
      <w:r w:rsidR="000A14F6">
        <w:t xml:space="preserve"> and </w:t>
      </w:r>
      <w:r w:rsidR="00C8266B">
        <w:t>discharge</w:t>
      </w:r>
      <w:r w:rsidR="000A14F6">
        <w:t xml:space="preserve"> their representatives</w:t>
      </w:r>
      <w:r w:rsidR="00076645">
        <w:t xml:space="preserve">. In the absence of </w:t>
      </w:r>
      <w:r w:rsidR="00404E60">
        <w:t>a</w:t>
      </w:r>
      <w:r w:rsidR="002E776F">
        <w:t>ny</w:t>
      </w:r>
      <w:r w:rsidR="00076645">
        <w:t xml:space="preserve"> real possibility </w:t>
      </w:r>
      <w:r w:rsidR="002E776F">
        <w:t xml:space="preserve">of </w:t>
      </w:r>
      <w:r w:rsidR="00076645">
        <w:t>expel</w:t>
      </w:r>
      <w:r w:rsidR="002E776F">
        <w:t>ling</w:t>
      </w:r>
      <w:r w:rsidR="00076645">
        <w:t xml:space="preserve"> the applicants to Syria, the</w:t>
      </w:r>
      <w:r w:rsidR="000A14F6">
        <w:t xml:space="preserve">ir detention </w:t>
      </w:r>
      <w:r w:rsidR="002E776F">
        <w:t xml:space="preserve">had </w:t>
      </w:r>
      <w:r w:rsidR="000A14F6">
        <w:t xml:space="preserve">turned into </w:t>
      </w:r>
      <w:r w:rsidR="002E776F">
        <w:t xml:space="preserve">an </w:t>
      </w:r>
      <w:r w:rsidR="000A14F6">
        <w:t>open-ended punishment without a</w:t>
      </w:r>
      <w:r w:rsidR="002E776F">
        <w:t>ny</w:t>
      </w:r>
      <w:r w:rsidR="000A14F6">
        <w:t xml:space="preserve"> possibility of review.</w:t>
      </w:r>
    </w:p>
    <w:p w:rsidR="009E1BDD" w:rsidRDefault="004A3F2A" w:rsidP="0071734C">
      <w:pPr>
        <w:pStyle w:val="ECHRPara"/>
      </w:pPr>
      <w:r>
        <w:lastRenderedPageBreak/>
        <w:fldChar w:fldCharType="begin"/>
      </w:r>
      <w:r>
        <w:instrText xml:space="preserve"> SEQ level0 \*arabic </w:instrText>
      </w:r>
      <w:r>
        <w:fldChar w:fldCharType="separate"/>
      </w:r>
      <w:r w:rsidR="00D21AD2">
        <w:rPr>
          <w:noProof/>
        </w:rPr>
        <w:t>46</w:t>
      </w:r>
      <w:r>
        <w:fldChar w:fldCharType="end"/>
      </w:r>
      <w:r>
        <w:t xml:space="preserve">.  On 11 June 2014 the Kaluga FMS </w:t>
      </w:r>
      <w:r w:rsidR="00C8266B">
        <w:t>wrote</w:t>
      </w:r>
      <w:r>
        <w:t xml:space="preserve"> to the Ka</w:t>
      </w:r>
      <w:r w:rsidR="005607D0">
        <w:t>l</w:t>
      </w:r>
      <w:r>
        <w:t xml:space="preserve">uga regional </w:t>
      </w:r>
      <w:r w:rsidR="002E63E2">
        <w:t>o</w:t>
      </w:r>
      <w:r>
        <w:t>mbudsman</w:t>
      </w:r>
      <w:r w:rsidR="002E63E2">
        <w:t xml:space="preserve">, noting </w:t>
      </w:r>
      <w:r>
        <w:t xml:space="preserve">that on 27 May 2014 the Regional Court </w:t>
      </w:r>
      <w:r w:rsidR="00922515">
        <w:t xml:space="preserve">had </w:t>
      </w:r>
      <w:r>
        <w:t>rejected the applicants</w:t>
      </w:r>
      <w:r w:rsidR="00BA3D89">
        <w:t>’</w:t>
      </w:r>
      <w:r>
        <w:t xml:space="preserve"> appeals (see paragraph </w:t>
      </w:r>
      <w:r w:rsidR="00E83AD8">
        <w:rPr>
          <w:noProof/>
        </w:rPr>
        <w:t>13</w:t>
      </w:r>
      <w:r w:rsidR="00193071">
        <w:t xml:space="preserve"> </w:t>
      </w:r>
      <w:r w:rsidR="005607D0">
        <w:t>above) while the</w:t>
      </w:r>
      <w:r w:rsidR="00C8266B">
        <w:t>y</w:t>
      </w:r>
      <w:r w:rsidR="005607D0">
        <w:t xml:space="preserve"> were assisted by a lawyer and interpreter. In their letter of 29 July 2014 the Kaluga FMS informed the regional </w:t>
      </w:r>
      <w:r w:rsidR="00813853">
        <w:t>p</w:t>
      </w:r>
      <w:r w:rsidR="005607D0">
        <w:t>rosecutor</w:t>
      </w:r>
      <w:r w:rsidR="00BA3D89">
        <w:t>’</w:t>
      </w:r>
      <w:r w:rsidR="005607D0">
        <w:t>s office that the detainees</w:t>
      </w:r>
      <w:r w:rsidR="00BA3D89">
        <w:t>’</w:t>
      </w:r>
      <w:r w:rsidR="005607D0">
        <w:t xml:space="preserve"> rights had not been infringed. The court hearing of 30 June 2014 </w:t>
      </w:r>
      <w:r w:rsidR="002E63E2">
        <w:t xml:space="preserve">relating to </w:t>
      </w:r>
      <w:r w:rsidR="005607D0">
        <w:t>staying</w:t>
      </w:r>
      <w:r w:rsidR="009A35D9">
        <w:t xml:space="preserve"> </w:t>
      </w:r>
      <w:r w:rsidR="005607D0">
        <w:t xml:space="preserve">execution of the expulsion order (see paragraph </w:t>
      </w:r>
      <w:r w:rsidR="00E83AD8">
        <w:rPr>
          <w:noProof/>
        </w:rPr>
        <w:t>15</w:t>
      </w:r>
      <w:r w:rsidR="005607D0">
        <w:t xml:space="preserve"> above) </w:t>
      </w:r>
      <w:r w:rsidR="00C8266B">
        <w:t>had</w:t>
      </w:r>
      <w:r w:rsidR="005607D0">
        <w:t xml:space="preserve"> not require</w:t>
      </w:r>
      <w:r w:rsidR="00C8266B">
        <w:t>d</w:t>
      </w:r>
      <w:r w:rsidR="005607D0">
        <w:t xml:space="preserve"> the applicants</w:t>
      </w:r>
      <w:r w:rsidR="00BA3D89">
        <w:t>’</w:t>
      </w:r>
      <w:r w:rsidR="005607D0">
        <w:t xml:space="preserve"> presence</w:t>
      </w:r>
      <w:r w:rsidR="000E5BE5">
        <w:t>, and</w:t>
      </w:r>
      <w:r w:rsidR="005607D0">
        <w:t xml:space="preserve"> an interpreter </w:t>
      </w:r>
      <w:r w:rsidR="00C8266B">
        <w:t>had been</w:t>
      </w:r>
      <w:r w:rsidR="005607D0">
        <w:t xml:space="preserve"> invited to the detention centre on 17 July 2014</w:t>
      </w:r>
      <w:r w:rsidR="002E63E2">
        <w:t>,</w:t>
      </w:r>
      <w:r w:rsidR="005607D0">
        <w:t xml:space="preserve"> who </w:t>
      </w:r>
      <w:r w:rsidR="00C8266B">
        <w:t xml:space="preserve">had </w:t>
      </w:r>
      <w:r w:rsidR="005607D0">
        <w:t xml:space="preserve">translated the court decision to the applicants. On the same day </w:t>
      </w:r>
      <w:r w:rsidR="00807B20">
        <w:t>M.A.</w:t>
      </w:r>
      <w:r w:rsidR="005607D0">
        <w:t xml:space="preserve"> </w:t>
      </w:r>
      <w:r w:rsidR="00C8266B">
        <w:t xml:space="preserve">had </w:t>
      </w:r>
      <w:r w:rsidR="005607D0">
        <w:t xml:space="preserve">decided to withdraw his application for temporary asylum and </w:t>
      </w:r>
      <w:r w:rsidR="00F73960">
        <w:t xml:space="preserve">refuse </w:t>
      </w:r>
      <w:r w:rsidR="002E63E2">
        <w:t xml:space="preserve">any </w:t>
      </w:r>
      <w:r w:rsidR="00F73960">
        <w:t xml:space="preserve">further assistance </w:t>
      </w:r>
      <w:r w:rsidR="002E63E2">
        <w:t xml:space="preserve">from </w:t>
      </w:r>
      <w:r w:rsidR="00625D44">
        <w:t>Ms</w:t>
      </w:r>
      <w:r w:rsidR="00F73960">
        <w:t xml:space="preserve"> </w:t>
      </w:r>
      <w:proofErr w:type="spellStart"/>
      <w:r w:rsidR="00F73960">
        <w:t>Lyubov</w:t>
      </w:r>
      <w:proofErr w:type="spellEnd"/>
      <w:r w:rsidR="00F73960">
        <w:t xml:space="preserve"> M.-E., sign</w:t>
      </w:r>
      <w:r w:rsidR="002E63E2">
        <w:t xml:space="preserve">ing </w:t>
      </w:r>
      <w:r w:rsidR="00F73960">
        <w:t>the relevant documents.</w:t>
      </w:r>
    </w:p>
    <w:p w:rsidR="009E1BDD" w:rsidRDefault="00F86F1B" w:rsidP="0071734C">
      <w:pPr>
        <w:pStyle w:val="ECHRPara"/>
      </w:pPr>
      <w:r>
        <w:fldChar w:fldCharType="begin"/>
      </w:r>
      <w:r>
        <w:instrText xml:space="preserve"> SEQ level0 \*arabic </w:instrText>
      </w:r>
      <w:r>
        <w:fldChar w:fldCharType="separate"/>
      </w:r>
      <w:r w:rsidR="00D21AD2">
        <w:rPr>
          <w:noProof/>
        </w:rPr>
        <w:t>47</w:t>
      </w:r>
      <w:r>
        <w:fldChar w:fldCharType="end"/>
      </w:r>
      <w:r>
        <w:t>.  </w:t>
      </w:r>
      <w:r w:rsidR="00404E60">
        <w:t xml:space="preserve">Writing </w:t>
      </w:r>
      <w:r w:rsidR="00F73960">
        <w:t>to the</w:t>
      </w:r>
      <w:r w:rsidR="00404E60">
        <w:t xml:space="preserve"> applicants</w:t>
      </w:r>
      <w:r w:rsidR="00BA3D89">
        <w:t>’</w:t>
      </w:r>
      <w:r w:rsidR="00404E60">
        <w:t xml:space="preserve"> lawyer on</w:t>
      </w:r>
      <w:r w:rsidR="00442CD7">
        <w:t xml:space="preserve"> 29 July and </w:t>
      </w:r>
      <w:r w:rsidR="00C55CE6">
        <w:t xml:space="preserve">12 August and </w:t>
      </w:r>
      <w:r w:rsidR="00442CD7">
        <w:t>the</w:t>
      </w:r>
      <w:r w:rsidR="00F73960">
        <w:t xml:space="preserve"> regional </w:t>
      </w:r>
      <w:r w:rsidR="00541AF6">
        <w:t>p</w:t>
      </w:r>
      <w:r w:rsidR="00F73960">
        <w:t>rosecutor</w:t>
      </w:r>
      <w:r w:rsidR="00BA3D89">
        <w:t>’</w:t>
      </w:r>
      <w:r w:rsidR="00F73960">
        <w:t xml:space="preserve">s </w:t>
      </w:r>
      <w:r w:rsidR="00541AF6">
        <w:t>o</w:t>
      </w:r>
      <w:r w:rsidR="00F73960">
        <w:t xml:space="preserve">ffice </w:t>
      </w:r>
      <w:r w:rsidR="002E63E2">
        <w:t xml:space="preserve">on </w:t>
      </w:r>
      <w:r w:rsidR="00F73960">
        <w:t>30 July 2014</w:t>
      </w:r>
      <w:r w:rsidR="00404E60">
        <w:t>,</w:t>
      </w:r>
      <w:r w:rsidR="00F73960">
        <w:t xml:space="preserve"> the Kaluga FMS </w:t>
      </w:r>
      <w:r w:rsidR="00404E60">
        <w:t>provided</w:t>
      </w:r>
      <w:r w:rsidR="00F73960">
        <w:t xml:space="preserve"> information about the medical assistance </w:t>
      </w:r>
      <w:r w:rsidR="002E63E2">
        <w:t xml:space="preserve">given </w:t>
      </w:r>
      <w:r w:rsidR="00F73960">
        <w:t xml:space="preserve">to the applicants. </w:t>
      </w:r>
      <w:r w:rsidR="002E63E2">
        <w:t>I</w:t>
      </w:r>
      <w:r w:rsidR="00F73960">
        <w:t xml:space="preserve">n respect of </w:t>
      </w:r>
      <w:r w:rsidR="00807B20">
        <w:t>M.A.</w:t>
      </w:r>
      <w:r w:rsidR="002E63E2">
        <w:t>,</w:t>
      </w:r>
      <w:r w:rsidR="00F73960">
        <w:t xml:space="preserve"> the letter</w:t>
      </w:r>
      <w:r w:rsidR="00C55CE6">
        <w:t>s</w:t>
      </w:r>
      <w:r w:rsidR="00F73960">
        <w:t xml:space="preserve"> stated that he had been examined by a doctor upon arrival</w:t>
      </w:r>
      <w:r w:rsidR="002E63E2">
        <w:t xml:space="preserve">, </w:t>
      </w:r>
      <w:r w:rsidR="00F73960">
        <w:t xml:space="preserve">that an interpreter </w:t>
      </w:r>
      <w:r w:rsidR="002E63E2">
        <w:t xml:space="preserve">had </w:t>
      </w:r>
      <w:r w:rsidR="00F73960">
        <w:t xml:space="preserve">assisted him </w:t>
      </w:r>
      <w:r w:rsidR="00C8266B">
        <w:t xml:space="preserve">on 9 June 2014 </w:t>
      </w:r>
      <w:r w:rsidR="00F73960">
        <w:t xml:space="preserve">in communicating with the </w:t>
      </w:r>
      <w:r w:rsidR="002E63E2">
        <w:t xml:space="preserve">detention centre </w:t>
      </w:r>
      <w:r w:rsidR="00F73960">
        <w:t>doctor</w:t>
      </w:r>
      <w:r w:rsidR="00C8266B">
        <w:t>,</w:t>
      </w:r>
      <w:r w:rsidR="00F73960">
        <w:t xml:space="preserve"> who had </w:t>
      </w:r>
      <w:r w:rsidR="00A57A03">
        <w:t>administered treatment, and</w:t>
      </w:r>
      <w:r w:rsidR="002E63E2">
        <w:t xml:space="preserve"> that</w:t>
      </w:r>
      <w:r w:rsidR="00A57A03">
        <w:t xml:space="preserve"> on 14 and 25 June </w:t>
      </w:r>
      <w:r w:rsidR="002E63E2">
        <w:t>he</w:t>
      </w:r>
      <w:r w:rsidR="00A57A03">
        <w:t xml:space="preserve"> </w:t>
      </w:r>
      <w:r w:rsidR="002E63E2">
        <w:t xml:space="preserve">had </w:t>
      </w:r>
      <w:r w:rsidR="00A57A03">
        <w:t>again</w:t>
      </w:r>
      <w:r w:rsidR="002E63E2">
        <w:t xml:space="preserve"> been</w:t>
      </w:r>
      <w:r w:rsidR="00A57A03">
        <w:t xml:space="preserve"> examined by </w:t>
      </w:r>
      <w:r w:rsidR="002E63E2">
        <w:t xml:space="preserve">a </w:t>
      </w:r>
      <w:r w:rsidR="00A57A03">
        <w:t xml:space="preserve">doctor and </w:t>
      </w:r>
      <w:r w:rsidR="002E63E2">
        <w:t xml:space="preserve">sent </w:t>
      </w:r>
      <w:r w:rsidR="00A57A03">
        <w:t xml:space="preserve">for </w:t>
      </w:r>
      <w:r w:rsidR="002E63E2">
        <w:t xml:space="preserve">a </w:t>
      </w:r>
      <w:r w:rsidR="00A57A03">
        <w:t xml:space="preserve">chest X-ray. His condition </w:t>
      </w:r>
      <w:r w:rsidR="00C8266B">
        <w:t>had been</w:t>
      </w:r>
      <w:r w:rsidR="00A57A03">
        <w:t xml:space="preserve"> </w:t>
      </w:r>
      <w:r w:rsidR="002E63E2">
        <w:t xml:space="preserve">described </w:t>
      </w:r>
      <w:r w:rsidR="00A57A03">
        <w:t>as “satisfactory” and improved. The letter</w:t>
      </w:r>
      <w:r w:rsidR="00C55CE6">
        <w:t>s</w:t>
      </w:r>
      <w:r w:rsidR="00A57A03">
        <w:t xml:space="preserve"> went on to state that the detention rooms had </w:t>
      </w:r>
      <w:r w:rsidR="002E63E2">
        <w:t xml:space="preserve">a </w:t>
      </w:r>
      <w:r w:rsidR="00A57A03">
        <w:t>ventilation</w:t>
      </w:r>
      <w:r w:rsidR="002E63E2">
        <w:t xml:space="preserve"> system</w:t>
      </w:r>
      <w:r w:rsidR="00A57A03">
        <w:t xml:space="preserve"> installed</w:t>
      </w:r>
      <w:r w:rsidR="002E63E2">
        <w:t xml:space="preserve">, </w:t>
      </w:r>
      <w:r w:rsidR="00A57A03">
        <w:t xml:space="preserve">that </w:t>
      </w:r>
      <w:r w:rsidR="002E63E2">
        <w:t xml:space="preserve">the </w:t>
      </w:r>
      <w:r w:rsidR="00A57A03">
        <w:t>shower and toilet</w:t>
      </w:r>
      <w:r w:rsidR="002E63E2">
        <w:t xml:space="preserve">s, although </w:t>
      </w:r>
      <w:r w:rsidR="00A57A03">
        <w:t>not in the rooms, were</w:t>
      </w:r>
      <w:r w:rsidR="002E63E2">
        <w:t xml:space="preserve"> undergoing renovation so</w:t>
      </w:r>
      <w:r w:rsidR="00A57A03">
        <w:t xml:space="preserve"> </w:t>
      </w:r>
      <w:r w:rsidR="002E63E2">
        <w:t xml:space="preserve">that they would all be </w:t>
      </w:r>
      <w:r w:rsidR="00A57A03">
        <w:t>on one floor</w:t>
      </w:r>
      <w:r w:rsidR="00520B10">
        <w:t>,</w:t>
      </w:r>
      <w:r w:rsidR="00A57A03">
        <w:t xml:space="preserve"> that there was a courtyard for </w:t>
      </w:r>
      <w:r w:rsidR="00BA6E52">
        <w:t>walks</w:t>
      </w:r>
      <w:r w:rsidR="00520B10">
        <w:t>,</w:t>
      </w:r>
      <w:r w:rsidR="00BA6E52">
        <w:t xml:space="preserve"> </w:t>
      </w:r>
      <w:r w:rsidR="00520B10">
        <w:t xml:space="preserve">and </w:t>
      </w:r>
      <w:r w:rsidR="00BA6E52">
        <w:t xml:space="preserve">that the detention centre </w:t>
      </w:r>
      <w:r w:rsidR="0035037B">
        <w:t xml:space="preserve">staff </w:t>
      </w:r>
      <w:r w:rsidR="00BA6E52">
        <w:t xml:space="preserve">had treated detainees with respect and never allowed any behaviour which could </w:t>
      </w:r>
      <w:r w:rsidR="007726BF">
        <w:t>escalate into arguments</w:t>
      </w:r>
      <w:r w:rsidR="00BA6E52">
        <w:t xml:space="preserve">. The staff </w:t>
      </w:r>
      <w:r w:rsidR="007726BF">
        <w:t>included</w:t>
      </w:r>
      <w:r w:rsidR="00BA6E52">
        <w:t xml:space="preserve"> </w:t>
      </w:r>
      <w:r w:rsidR="007726BF">
        <w:t xml:space="preserve">a </w:t>
      </w:r>
      <w:r w:rsidR="00BA6E52">
        <w:t xml:space="preserve">doctor, </w:t>
      </w:r>
      <w:r w:rsidR="007726BF">
        <w:t xml:space="preserve">a </w:t>
      </w:r>
      <w:r w:rsidR="00BA6E52">
        <w:t xml:space="preserve">psychologist and </w:t>
      </w:r>
      <w:r w:rsidR="007726BF">
        <w:t xml:space="preserve">a </w:t>
      </w:r>
      <w:r w:rsidR="00BA6E52">
        <w:t xml:space="preserve">medical disinfection specialist. </w:t>
      </w:r>
      <w:r>
        <w:t xml:space="preserve">On 17 July 2014 </w:t>
      </w:r>
      <w:r w:rsidR="00807B20">
        <w:t>M.A.</w:t>
      </w:r>
      <w:r w:rsidR="00BA6E52">
        <w:t xml:space="preserve"> </w:t>
      </w:r>
      <w:r w:rsidR="00C8266B">
        <w:t xml:space="preserve">had </w:t>
      </w:r>
      <w:r w:rsidR="00BA6E52">
        <w:t>signed a paper refusing</w:t>
      </w:r>
      <w:r w:rsidR="007726BF">
        <w:t xml:space="preserve"> any</w:t>
      </w:r>
      <w:r w:rsidR="00BA6E52">
        <w:t xml:space="preserve"> further assistance </w:t>
      </w:r>
      <w:r w:rsidR="007726BF">
        <w:t xml:space="preserve">from </w:t>
      </w:r>
      <w:r w:rsidR="00625D44">
        <w:t>Ms</w:t>
      </w:r>
      <w:r w:rsidR="00965E4D">
        <w:t> </w:t>
      </w:r>
      <w:proofErr w:type="spellStart"/>
      <w:r w:rsidR="00BA6E52">
        <w:t>Lyubov</w:t>
      </w:r>
      <w:proofErr w:type="spellEnd"/>
      <w:r w:rsidR="00BA6E52">
        <w:t xml:space="preserve"> M.-E. </w:t>
      </w:r>
      <w:r w:rsidR="00C55CE6">
        <w:t xml:space="preserve">On the same day </w:t>
      </w:r>
      <w:r w:rsidR="007726BF">
        <w:t xml:space="preserve">the remaining two </w:t>
      </w:r>
      <w:r w:rsidR="00C55CE6">
        <w:t xml:space="preserve">applicants </w:t>
      </w:r>
      <w:r w:rsidR="00C8266B">
        <w:t xml:space="preserve">had </w:t>
      </w:r>
      <w:r w:rsidR="00C55CE6">
        <w:t>also expressed their wish to withdraw their requests for asylum.</w:t>
      </w:r>
    </w:p>
    <w:p w:rsidR="000A14F6" w:rsidRDefault="00965E4D" w:rsidP="000A14F6">
      <w:pPr>
        <w:pStyle w:val="ECHRHeading3"/>
      </w:pPr>
      <w:r>
        <w:t>2.  </w:t>
      </w:r>
      <w:r w:rsidR="00807B20">
        <w:t>M.A.</w:t>
      </w:r>
      <w:r w:rsidR="00BA3D89">
        <w:t>’</w:t>
      </w:r>
      <w:r w:rsidR="000A14F6">
        <w:t>s meeting with his relatives on 22 October 2014</w:t>
      </w:r>
    </w:p>
    <w:p w:rsidR="00EF3A57" w:rsidRDefault="00F86F1B" w:rsidP="0071734C">
      <w:pPr>
        <w:pStyle w:val="ECHRPara"/>
      </w:pPr>
      <w:r w:rsidRPr="00584D28">
        <w:fldChar w:fldCharType="begin"/>
      </w:r>
      <w:r w:rsidRPr="00584D28">
        <w:instrText xml:space="preserve"> SEQ level0 \*arabic </w:instrText>
      </w:r>
      <w:r w:rsidRPr="00584D28">
        <w:fldChar w:fldCharType="separate"/>
      </w:r>
      <w:r w:rsidR="00D21AD2">
        <w:rPr>
          <w:noProof/>
        </w:rPr>
        <w:t>48</w:t>
      </w:r>
      <w:r w:rsidRPr="00584D28">
        <w:fldChar w:fldCharType="end"/>
      </w:r>
      <w:r w:rsidRPr="00584D28">
        <w:t xml:space="preserve">.  On 22 October 2014 </w:t>
      </w:r>
      <w:r w:rsidR="00807B20">
        <w:t>M.A.</w:t>
      </w:r>
      <w:r w:rsidRPr="00584D28">
        <w:t xml:space="preserve"> signed a letter in Russian </w:t>
      </w:r>
      <w:r w:rsidR="007726BF">
        <w:t xml:space="preserve">addressed </w:t>
      </w:r>
      <w:r w:rsidRPr="00584D28">
        <w:t xml:space="preserve">to the Kaluga FMS </w:t>
      </w:r>
      <w:r w:rsidR="007726BF" w:rsidRPr="00584D28">
        <w:t>stat</w:t>
      </w:r>
      <w:r w:rsidR="007726BF">
        <w:t xml:space="preserve">ing </w:t>
      </w:r>
      <w:r w:rsidR="00584D28">
        <w:t xml:space="preserve">that </w:t>
      </w:r>
      <w:r w:rsidR="007726BF">
        <w:t xml:space="preserve">its </w:t>
      </w:r>
      <w:r w:rsidR="00584D28">
        <w:t xml:space="preserve">officers had forced him to sign documents in Russian he could not understand and which, as it turned out, </w:t>
      </w:r>
      <w:r w:rsidR="00F61EE7">
        <w:t xml:space="preserve">had </w:t>
      </w:r>
      <w:r w:rsidR="00584D28">
        <w:t>cancelled hi</w:t>
      </w:r>
      <w:r w:rsidR="00922515">
        <w:t>s</w:t>
      </w:r>
      <w:r w:rsidR="00584D28">
        <w:t xml:space="preserve"> asylum request and prevented </w:t>
      </w:r>
      <w:r w:rsidR="007726BF">
        <w:t xml:space="preserve">him </w:t>
      </w:r>
      <w:r w:rsidR="00584D28">
        <w:t xml:space="preserve">meeting with his representative, </w:t>
      </w:r>
      <w:r w:rsidR="00625D44">
        <w:t>Ms</w:t>
      </w:r>
      <w:r w:rsidR="00965E4D">
        <w:t> </w:t>
      </w:r>
      <w:proofErr w:type="spellStart"/>
      <w:r w:rsidR="00584D28">
        <w:t>Lyubov</w:t>
      </w:r>
      <w:proofErr w:type="spellEnd"/>
      <w:r w:rsidR="00584D28">
        <w:t xml:space="preserve"> M.-E. As a result, he had</w:t>
      </w:r>
      <w:r w:rsidR="00632462">
        <w:t xml:space="preserve"> </w:t>
      </w:r>
      <w:r w:rsidR="00584D28">
        <w:t>no</w:t>
      </w:r>
      <w:r w:rsidR="00586520">
        <w:t>t</w:t>
      </w:r>
      <w:r w:rsidR="00584D28">
        <w:t xml:space="preserve"> met with </w:t>
      </w:r>
      <w:r w:rsidR="007726BF">
        <w:t>her</w:t>
      </w:r>
      <w:r w:rsidR="00584D28">
        <w:t>, and the only meeting he had</w:t>
      </w:r>
      <w:r w:rsidR="007726BF">
        <w:t xml:space="preserve"> </w:t>
      </w:r>
      <w:r w:rsidR="00F61EE7">
        <w:t>attended had been</w:t>
      </w:r>
      <w:r w:rsidR="00584D28">
        <w:t xml:space="preserve"> with his brother and </w:t>
      </w:r>
      <w:r w:rsidR="00D00614">
        <w:t>sister-in-law</w:t>
      </w:r>
      <w:r w:rsidR="000A14F6">
        <w:t xml:space="preserve"> on 22</w:t>
      </w:r>
      <w:r w:rsidR="00965E4D">
        <w:t> </w:t>
      </w:r>
      <w:r w:rsidR="000A14F6">
        <w:t>Octo</w:t>
      </w:r>
      <w:r w:rsidR="00584D28">
        <w:t>ber 2014</w:t>
      </w:r>
      <w:r w:rsidR="00F61EE7">
        <w:t>, which</w:t>
      </w:r>
      <w:r w:rsidR="00584D28">
        <w:t xml:space="preserve"> </w:t>
      </w:r>
      <w:r w:rsidR="00D00614">
        <w:t xml:space="preserve">had </w:t>
      </w:r>
      <w:r w:rsidR="007726BF">
        <w:t xml:space="preserve">only </w:t>
      </w:r>
      <w:r w:rsidR="00584D28">
        <w:t xml:space="preserve">lasted about ten minutes. The applicant further stated that he and L.M. were under </w:t>
      </w:r>
      <w:r w:rsidR="007726BF">
        <w:t>constant surveillance</w:t>
      </w:r>
      <w:r w:rsidR="00584D28">
        <w:t xml:space="preserve">, </w:t>
      </w:r>
      <w:r w:rsidR="007726BF">
        <w:t xml:space="preserve">had </w:t>
      </w:r>
      <w:r w:rsidR="00404E60">
        <w:t>received</w:t>
      </w:r>
      <w:r w:rsidR="00584D28">
        <w:t xml:space="preserve"> threats fr</w:t>
      </w:r>
      <w:r w:rsidR="00404E60">
        <w:t>o</w:t>
      </w:r>
      <w:r w:rsidR="00584D28">
        <w:t>m the staff</w:t>
      </w:r>
      <w:r w:rsidR="00404E60" w:rsidRPr="00404E60">
        <w:t xml:space="preserve"> </w:t>
      </w:r>
      <w:r w:rsidR="00404E60">
        <w:t xml:space="preserve">and were unable to write and send letters or </w:t>
      </w:r>
      <w:r w:rsidR="00632462">
        <w:t xml:space="preserve">make </w:t>
      </w:r>
      <w:r w:rsidR="00404E60">
        <w:t>complaints</w:t>
      </w:r>
      <w:r w:rsidR="00584D28">
        <w:t xml:space="preserve">. The treatment was allegedly </w:t>
      </w:r>
      <w:r w:rsidR="007726BF">
        <w:t>because of their</w:t>
      </w:r>
      <w:r w:rsidR="00584D28">
        <w:t xml:space="preserve"> application to the Court. The papers signed by the applicants about their unwillingness to have their asylum requests considered had been obtained under duress and </w:t>
      </w:r>
      <w:r w:rsidR="00632462">
        <w:t xml:space="preserve">they had </w:t>
      </w:r>
      <w:r w:rsidR="00584D28">
        <w:lastRenderedPageBreak/>
        <w:t xml:space="preserve">had no idea what they </w:t>
      </w:r>
      <w:r w:rsidR="00D00614">
        <w:t>had signed</w:t>
      </w:r>
      <w:r w:rsidR="00584D28">
        <w:t>. The applicant</w:t>
      </w:r>
      <w:r w:rsidR="00BA3D89">
        <w:t>’</w:t>
      </w:r>
      <w:r w:rsidR="00584D28">
        <w:t xml:space="preserve">s requests to meet with </w:t>
      </w:r>
      <w:r w:rsidR="00632462">
        <w:t xml:space="preserve">his </w:t>
      </w:r>
      <w:r w:rsidR="00584D28">
        <w:t>relatives and representatives had not been granted. He further complained that he had not been given</w:t>
      </w:r>
      <w:r w:rsidR="00632462">
        <w:t xml:space="preserve"> any</w:t>
      </w:r>
      <w:r w:rsidR="00584D28">
        <w:t xml:space="preserve"> personal hygiene </w:t>
      </w:r>
      <w:r w:rsidR="00632462">
        <w:t xml:space="preserve">products </w:t>
      </w:r>
      <w:r w:rsidR="00584D28">
        <w:t>and could not shave or cut his hair</w:t>
      </w:r>
      <w:r w:rsidR="00632462">
        <w:t xml:space="preserve">, and </w:t>
      </w:r>
      <w:r w:rsidR="00584D28">
        <w:t xml:space="preserve">that </w:t>
      </w:r>
      <w:r w:rsidR="00F61EE7">
        <w:t xml:space="preserve">he and </w:t>
      </w:r>
      <w:r w:rsidR="00584D28">
        <w:t>L.</w:t>
      </w:r>
      <w:r w:rsidR="008B1436">
        <w:t>M.</w:t>
      </w:r>
      <w:r w:rsidR="00584D28">
        <w:t xml:space="preserve"> were</w:t>
      </w:r>
      <w:r w:rsidR="00632462">
        <w:t xml:space="preserve"> being</w:t>
      </w:r>
      <w:r w:rsidR="00584D28">
        <w:t xml:space="preserve"> kept in isolation and had very little contact with other detainees, allegedly because they had applied to the Court. They </w:t>
      </w:r>
      <w:r w:rsidR="00632462">
        <w:t xml:space="preserve">had </w:t>
      </w:r>
      <w:r w:rsidR="00584D28">
        <w:t xml:space="preserve">also </w:t>
      </w:r>
      <w:r w:rsidR="00632462">
        <w:t xml:space="preserve">been </w:t>
      </w:r>
      <w:r w:rsidR="00584D28">
        <w:t xml:space="preserve">told that their expulsion to Syria would take place anyway and that their complaints </w:t>
      </w:r>
      <w:r w:rsidR="00632462">
        <w:t xml:space="preserve">would </w:t>
      </w:r>
      <w:r w:rsidR="00584D28">
        <w:t>ha</w:t>
      </w:r>
      <w:r w:rsidR="00632462">
        <w:t>ve</w:t>
      </w:r>
      <w:r w:rsidR="00584D28">
        <w:t xml:space="preserve"> no</w:t>
      </w:r>
      <w:r w:rsidR="00A06AC8">
        <w:t xml:space="preserve"> effect. </w:t>
      </w:r>
      <w:r w:rsidR="00442CD7">
        <w:t xml:space="preserve">The letter ended with a request to </w:t>
      </w:r>
      <w:r w:rsidR="00632462">
        <w:t xml:space="preserve">be </w:t>
      </w:r>
      <w:r w:rsidR="00442CD7">
        <w:t>allow</w:t>
      </w:r>
      <w:r w:rsidR="00632462">
        <w:t>ed</w:t>
      </w:r>
      <w:r w:rsidR="00442CD7">
        <w:t xml:space="preserve"> </w:t>
      </w:r>
      <w:r w:rsidR="002545CF">
        <w:t>unrestricted</w:t>
      </w:r>
      <w:r w:rsidR="00442CD7">
        <w:t xml:space="preserve"> meetings with his relatives and representatives, including </w:t>
      </w:r>
      <w:r w:rsidR="00625D44">
        <w:t>Ms</w:t>
      </w:r>
      <w:r w:rsidR="00442CD7">
        <w:t xml:space="preserve"> </w:t>
      </w:r>
      <w:proofErr w:type="spellStart"/>
      <w:r w:rsidR="00442CD7">
        <w:t>Lyubov</w:t>
      </w:r>
      <w:proofErr w:type="spellEnd"/>
      <w:r w:rsidR="00442CD7">
        <w:t xml:space="preserve"> M.-E.</w:t>
      </w:r>
    </w:p>
    <w:p w:rsidR="009E1BDD" w:rsidRDefault="00A06AC8" w:rsidP="0071734C">
      <w:pPr>
        <w:pStyle w:val="ECHRPara"/>
      </w:pPr>
      <w:r>
        <w:fldChar w:fldCharType="begin"/>
      </w:r>
      <w:r>
        <w:instrText xml:space="preserve"> SEQ level0 \*arabic </w:instrText>
      </w:r>
      <w:r>
        <w:fldChar w:fldCharType="separate"/>
      </w:r>
      <w:r w:rsidR="00D21AD2">
        <w:rPr>
          <w:noProof/>
        </w:rPr>
        <w:t>49</w:t>
      </w:r>
      <w:r>
        <w:fldChar w:fldCharType="end"/>
      </w:r>
      <w:r>
        <w:t xml:space="preserve">.  On 27 October 2014 </w:t>
      </w:r>
      <w:proofErr w:type="spellStart"/>
      <w:r>
        <w:t>Albina</w:t>
      </w:r>
      <w:proofErr w:type="spellEnd"/>
      <w:r>
        <w:t xml:space="preserve"> A., </w:t>
      </w:r>
      <w:r w:rsidR="00807B20">
        <w:t>M.A.</w:t>
      </w:r>
      <w:r w:rsidR="00BA3D89">
        <w:t>’</w:t>
      </w:r>
      <w:r>
        <w:t>s sister</w:t>
      </w:r>
      <w:r w:rsidR="00404E60">
        <w:t>-</w:t>
      </w:r>
      <w:r>
        <w:t>in</w:t>
      </w:r>
      <w:r w:rsidR="00404E60">
        <w:t>-</w:t>
      </w:r>
      <w:r>
        <w:t xml:space="preserve">law, wrote to the Moscow-based human rights </w:t>
      </w:r>
      <w:r w:rsidR="00404E60">
        <w:t>NGO</w:t>
      </w:r>
      <w:r>
        <w:t xml:space="preserve"> Civic Assistance. On the same day she and </w:t>
      </w:r>
      <w:r w:rsidR="00F61EE7">
        <w:t xml:space="preserve">her husband </w:t>
      </w:r>
      <w:r w:rsidR="00A85A19">
        <w:t xml:space="preserve">Mr </w:t>
      </w:r>
      <w:proofErr w:type="spellStart"/>
      <w:r>
        <w:t>Akhmad</w:t>
      </w:r>
      <w:proofErr w:type="spellEnd"/>
      <w:r>
        <w:t xml:space="preserve"> A., </w:t>
      </w:r>
      <w:r w:rsidR="00807B20">
        <w:t>M.A.</w:t>
      </w:r>
      <w:r w:rsidR="00BA3D89">
        <w:t>’</w:t>
      </w:r>
      <w:r>
        <w:t xml:space="preserve">s brother, </w:t>
      </w:r>
      <w:r w:rsidR="00404E60">
        <w:t>produced</w:t>
      </w:r>
      <w:r w:rsidR="00B01DCA">
        <w:t xml:space="preserve"> affidavits to the applicant</w:t>
      </w:r>
      <w:r w:rsidR="00BA3D89">
        <w:t>’</w:t>
      </w:r>
      <w:r w:rsidR="00B01DCA">
        <w:t xml:space="preserve">s lawyers in Moscow. From these documents it </w:t>
      </w:r>
      <w:r w:rsidR="00813853">
        <w:t xml:space="preserve">appears </w:t>
      </w:r>
      <w:r w:rsidR="00B01DCA">
        <w:t>that both brothers had left Aleppo in Syria because of</w:t>
      </w:r>
      <w:r w:rsidR="00D00614">
        <w:t xml:space="preserve"> the</w:t>
      </w:r>
      <w:r w:rsidR="00B01DCA">
        <w:t xml:space="preserve"> hostilities</w:t>
      </w:r>
      <w:r w:rsidR="00D00614">
        <w:t xml:space="preserve"> there</w:t>
      </w:r>
      <w:r w:rsidR="00B01DCA">
        <w:t xml:space="preserve">, that their neighbourhood had been destroyed, </w:t>
      </w:r>
      <w:r w:rsidR="00D00614">
        <w:t xml:space="preserve">that </w:t>
      </w:r>
      <w:r w:rsidR="00B01DCA">
        <w:t>many of their relatives</w:t>
      </w:r>
      <w:r w:rsidR="00D00614">
        <w:t xml:space="preserve"> had been</w:t>
      </w:r>
      <w:r w:rsidR="00B01DCA">
        <w:t xml:space="preserve"> killed</w:t>
      </w:r>
      <w:r w:rsidR="00D00614">
        <w:t>,</w:t>
      </w:r>
      <w:r w:rsidR="00B01DCA">
        <w:t xml:space="preserve"> and </w:t>
      </w:r>
      <w:r w:rsidR="00D00614">
        <w:t xml:space="preserve">that </w:t>
      </w:r>
      <w:r w:rsidR="00B01DCA">
        <w:t xml:space="preserve">they had no contact with the </w:t>
      </w:r>
      <w:r w:rsidR="00404E60">
        <w:t>surviving</w:t>
      </w:r>
      <w:r w:rsidR="00B01DCA">
        <w:t xml:space="preserve"> family members. They </w:t>
      </w:r>
      <w:r w:rsidR="00D00614">
        <w:t xml:space="preserve">had been unable to </w:t>
      </w:r>
      <w:r w:rsidR="00B01DCA">
        <w:t xml:space="preserve">meet with </w:t>
      </w:r>
      <w:r w:rsidR="00807B20">
        <w:t>M.A.</w:t>
      </w:r>
      <w:r w:rsidR="00B01DCA">
        <w:t xml:space="preserve"> at the detention centre, </w:t>
      </w:r>
      <w:r w:rsidR="00D00614">
        <w:t xml:space="preserve">with the </w:t>
      </w:r>
      <w:r w:rsidR="00B01DCA">
        <w:t>except</w:t>
      </w:r>
      <w:r w:rsidR="00D00614">
        <w:t>ion of</w:t>
      </w:r>
      <w:r w:rsidR="00B01DCA">
        <w:t xml:space="preserve"> one brief visit on 22 October 2014. The visit</w:t>
      </w:r>
      <w:r w:rsidR="009521D3">
        <w:t xml:space="preserve"> had</w:t>
      </w:r>
      <w:r w:rsidR="00B01DCA">
        <w:t xml:space="preserve"> lasted about ten minutes and a detention centre officer</w:t>
      </w:r>
      <w:r w:rsidR="00404E60">
        <w:t xml:space="preserve"> </w:t>
      </w:r>
      <w:r w:rsidR="009521D3">
        <w:t>had been</w:t>
      </w:r>
      <w:r w:rsidR="00404E60">
        <w:t xml:space="preserve"> present</w:t>
      </w:r>
      <w:r w:rsidR="00D00614">
        <w:t>. W</w:t>
      </w:r>
      <w:r w:rsidR="00B01DCA">
        <w:t xml:space="preserve">hen </w:t>
      </w:r>
      <w:r w:rsidR="00807B20">
        <w:t>M.A.</w:t>
      </w:r>
      <w:r w:rsidR="00D00614">
        <w:t xml:space="preserve"> had</w:t>
      </w:r>
      <w:r w:rsidR="00B01DCA">
        <w:t xml:space="preserve"> started to write down a complaint in Arabic, it </w:t>
      </w:r>
      <w:r w:rsidR="00D00614">
        <w:t xml:space="preserve">had been </w:t>
      </w:r>
      <w:r w:rsidR="00B01DCA">
        <w:t>taken away by the officer who</w:t>
      </w:r>
      <w:r w:rsidR="00D00614">
        <w:t xml:space="preserve"> had</w:t>
      </w:r>
      <w:r w:rsidR="00B01DCA">
        <w:t xml:space="preserve"> said that it was not allowed. </w:t>
      </w:r>
      <w:r w:rsidR="00807B20">
        <w:t>M.A.</w:t>
      </w:r>
      <w:r w:rsidR="00B01DCA">
        <w:t xml:space="preserve"> </w:t>
      </w:r>
      <w:r w:rsidR="00D00614">
        <w:t xml:space="preserve">had </w:t>
      </w:r>
      <w:r w:rsidR="00B01DCA">
        <w:t xml:space="preserve">not </w:t>
      </w:r>
      <w:r w:rsidR="00D00614">
        <w:t xml:space="preserve">been </w:t>
      </w:r>
      <w:r w:rsidR="00B01DCA">
        <w:t xml:space="preserve">aware that he had signed a withdrawal of his asylum request prior to the meeting with his relatives. </w:t>
      </w:r>
      <w:r w:rsidR="00404E60">
        <w:t>H</w:t>
      </w:r>
      <w:r w:rsidR="00442CD7">
        <w:t xml:space="preserve">e </w:t>
      </w:r>
      <w:r w:rsidR="009521D3">
        <w:t xml:space="preserve">had </w:t>
      </w:r>
      <w:r w:rsidR="00404E60">
        <w:t xml:space="preserve">said that he </w:t>
      </w:r>
      <w:r w:rsidR="00442CD7">
        <w:t xml:space="preserve">had signed </w:t>
      </w:r>
      <w:r w:rsidR="00404E60">
        <w:t xml:space="preserve">the papers </w:t>
      </w:r>
      <w:r w:rsidR="00442CD7">
        <w:t xml:space="preserve">under pressure from the FMS </w:t>
      </w:r>
      <w:r w:rsidR="00404E60">
        <w:t>staff</w:t>
      </w:r>
      <w:r w:rsidR="00442CD7">
        <w:t>. His brother</w:t>
      </w:r>
      <w:r w:rsidR="00B01DCA">
        <w:t xml:space="preserve"> </w:t>
      </w:r>
      <w:r w:rsidR="00D00614">
        <w:t xml:space="preserve">had </w:t>
      </w:r>
      <w:r w:rsidR="00B01DCA">
        <w:t xml:space="preserve">managed to </w:t>
      </w:r>
      <w:r w:rsidR="00D00614">
        <w:t xml:space="preserve">covertly </w:t>
      </w:r>
      <w:r w:rsidR="00442CD7">
        <w:t>obtain his</w:t>
      </w:r>
      <w:r w:rsidR="00B01DCA">
        <w:t xml:space="preserve"> </w:t>
      </w:r>
      <w:r w:rsidR="00442CD7">
        <w:t>signature on</w:t>
      </w:r>
      <w:r w:rsidR="00B01DCA">
        <w:t xml:space="preserve"> a complaint and a request to</w:t>
      </w:r>
      <w:r w:rsidR="00632462">
        <w:t xml:space="preserve"> be</w:t>
      </w:r>
      <w:r w:rsidR="00B01DCA">
        <w:t xml:space="preserve"> allow</w:t>
      </w:r>
      <w:r w:rsidR="00632462">
        <w:t>ed</w:t>
      </w:r>
      <w:r w:rsidR="00B01DCA">
        <w:t xml:space="preserve"> visit from his relatives and representative, </w:t>
      </w:r>
      <w:r w:rsidR="00625D44">
        <w:t>Ms</w:t>
      </w:r>
      <w:r w:rsidR="00B01DCA">
        <w:t xml:space="preserve"> </w:t>
      </w:r>
      <w:proofErr w:type="spellStart"/>
      <w:r w:rsidR="00B01DCA">
        <w:t>Lyubov</w:t>
      </w:r>
      <w:proofErr w:type="spellEnd"/>
      <w:r w:rsidR="00B01DCA">
        <w:t xml:space="preserve"> M.-E. </w:t>
      </w:r>
      <w:r w:rsidR="00807B20">
        <w:t>M.A.</w:t>
      </w:r>
      <w:r w:rsidR="00404E60">
        <w:t xml:space="preserve"> </w:t>
      </w:r>
      <w:r w:rsidR="00D00614">
        <w:t xml:space="preserve">had </w:t>
      </w:r>
      <w:r w:rsidR="00404E60">
        <w:t>also</w:t>
      </w:r>
      <w:r w:rsidR="00442CD7">
        <w:t xml:space="preserve"> told them that on 21</w:t>
      </w:r>
      <w:r w:rsidR="00965E4D">
        <w:t> </w:t>
      </w:r>
      <w:r w:rsidR="00442CD7">
        <w:t xml:space="preserve">October he had been visited by an FMS officer from Kaluga </w:t>
      </w:r>
      <w:r w:rsidR="00D41FFD">
        <w:t>(</w:t>
      </w:r>
      <w:r w:rsidR="00625D44">
        <w:t>Ms</w:t>
      </w:r>
      <w:r w:rsidR="00D41FFD">
        <w:t> </w:t>
      </w:r>
      <w:r w:rsidR="00442CD7">
        <w:t xml:space="preserve">Marina </w:t>
      </w:r>
      <w:proofErr w:type="spellStart"/>
      <w:r w:rsidR="00442CD7">
        <w:t>Vladimirovna</w:t>
      </w:r>
      <w:proofErr w:type="spellEnd"/>
      <w:r w:rsidR="00D41FFD">
        <w:t>)</w:t>
      </w:r>
      <w:r w:rsidR="00442CD7">
        <w:t>, accompanied by an interpreter, who</w:t>
      </w:r>
      <w:r w:rsidR="00D00614">
        <w:t xml:space="preserve"> had</w:t>
      </w:r>
      <w:r w:rsidR="00442CD7">
        <w:t xml:space="preserve"> told him that he would be expelled to Syria as soon as his travel documents </w:t>
      </w:r>
      <w:r w:rsidR="00D00614">
        <w:t>were</w:t>
      </w:r>
      <w:r w:rsidR="00442CD7">
        <w:t xml:space="preserve"> issued by the Syrian Embassy.</w:t>
      </w:r>
    </w:p>
    <w:p w:rsidR="009E1BDD" w:rsidRDefault="00442CD7" w:rsidP="0071734C">
      <w:pPr>
        <w:pStyle w:val="ECHRPara"/>
      </w:pPr>
      <w:r>
        <w:fldChar w:fldCharType="begin"/>
      </w:r>
      <w:r>
        <w:instrText xml:space="preserve"> SEQ level0 \*arabic </w:instrText>
      </w:r>
      <w:r>
        <w:fldChar w:fldCharType="separate"/>
      </w:r>
      <w:r w:rsidR="00D21AD2">
        <w:rPr>
          <w:noProof/>
        </w:rPr>
        <w:t>50</w:t>
      </w:r>
      <w:r>
        <w:fldChar w:fldCharType="end"/>
      </w:r>
      <w:r>
        <w:t xml:space="preserve">.  On 27 October 2014 </w:t>
      </w:r>
      <w:r w:rsidR="00404E60">
        <w:t>Mr</w:t>
      </w:r>
      <w:r>
        <w:t xml:space="preserve"> P.K. of the Kaluga Bar </w:t>
      </w:r>
      <w:r w:rsidR="002E776F">
        <w:t>A</w:t>
      </w:r>
      <w:r>
        <w:t xml:space="preserve">ssociation submitted a complaint to the Kaluga </w:t>
      </w:r>
      <w:r w:rsidR="00813853">
        <w:t>r</w:t>
      </w:r>
      <w:r>
        <w:t xml:space="preserve">egional </w:t>
      </w:r>
      <w:r w:rsidR="00813853">
        <w:t>p</w:t>
      </w:r>
      <w:r>
        <w:t>rosecutor</w:t>
      </w:r>
      <w:r w:rsidR="00BA3D89">
        <w:t>’</w:t>
      </w:r>
      <w:r>
        <w:t xml:space="preserve">s office. He stated that he had arrived </w:t>
      </w:r>
      <w:r w:rsidR="00D00614">
        <w:t xml:space="preserve">at </w:t>
      </w:r>
      <w:r>
        <w:t xml:space="preserve">the detention centre and </w:t>
      </w:r>
      <w:r w:rsidR="00D00614">
        <w:t xml:space="preserve">had </w:t>
      </w:r>
      <w:r w:rsidR="00404E60">
        <w:t>produced</w:t>
      </w:r>
      <w:r>
        <w:t xml:space="preserve"> an order for representing </w:t>
      </w:r>
      <w:r w:rsidR="00807B20">
        <w:t>M.A.</w:t>
      </w:r>
      <w:r>
        <w:t xml:space="preserve"> and a copy of his bar membership card</w:t>
      </w:r>
      <w:r w:rsidR="00D00614">
        <w:t xml:space="preserve"> that day</w:t>
      </w:r>
      <w:r>
        <w:t>; however</w:t>
      </w:r>
      <w:r w:rsidR="009521D3">
        <w:t>,</w:t>
      </w:r>
      <w:r>
        <w:t xml:space="preserve"> </w:t>
      </w:r>
      <w:r w:rsidR="00D00614">
        <w:t>its staff had</w:t>
      </w:r>
      <w:r>
        <w:t xml:space="preserve"> refused to allow him to meet with his client</w:t>
      </w:r>
      <w:r w:rsidR="00D00614">
        <w:t>,</w:t>
      </w:r>
      <w:r>
        <w:t xml:space="preserve"> referring to the absence of a</w:t>
      </w:r>
      <w:r w:rsidR="00D00614">
        <w:t>ny</w:t>
      </w:r>
      <w:r>
        <w:t xml:space="preserve"> signed agreement </w:t>
      </w:r>
      <w:r w:rsidR="00BC37D6">
        <w:t>t</w:t>
      </w:r>
      <w:r>
        <w:t>o represent hi</w:t>
      </w:r>
      <w:r w:rsidR="009521D3">
        <w:t>m</w:t>
      </w:r>
      <w:r>
        <w:t xml:space="preserve"> </w:t>
      </w:r>
      <w:r w:rsidR="00A84DE9">
        <w:t>or</w:t>
      </w:r>
      <w:r>
        <w:t xml:space="preserve"> permission for the meeting issued by the Kaluga</w:t>
      </w:r>
      <w:r w:rsidR="00541AF6">
        <w:t xml:space="preserve"> </w:t>
      </w:r>
      <w:r>
        <w:t xml:space="preserve">FMS. The FMS </w:t>
      </w:r>
      <w:r w:rsidR="009521D3">
        <w:t xml:space="preserve">had </w:t>
      </w:r>
      <w:r>
        <w:t xml:space="preserve">further informed him that the review of his request would take </w:t>
      </w:r>
      <w:r w:rsidR="00A84DE9">
        <w:t xml:space="preserve">a </w:t>
      </w:r>
      <w:r>
        <w:t xml:space="preserve">month. Mr P.K. referred to the provisions of </w:t>
      </w:r>
      <w:r w:rsidR="00A84DE9">
        <w:t>domestic</w:t>
      </w:r>
      <w:r>
        <w:t xml:space="preserve"> legislation which </w:t>
      </w:r>
      <w:r w:rsidR="00A84DE9">
        <w:t>permitted a</w:t>
      </w:r>
      <w:r>
        <w:t xml:space="preserve"> lawyer</w:t>
      </w:r>
      <w:r w:rsidR="00A84DE9">
        <w:t xml:space="preserve"> to</w:t>
      </w:r>
      <w:r>
        <w:t xml:space="preserve"> meet</w:t>
      </w:r>
      <w:r w:rsidR="00A84DE9">
        <w:t xml:space="preserve"> </w:t>
      </w:r>
      <w:r>
        <w:t xml:space="preserve">with his client and asked </w:t>
      </w:r>
      <w:r w:rsidR="00A84DE9">
        <w:t>for</w:t>
      </w:r>
      <w:r>
        <w:t xml:space="preserve"> his client</w:t>
      </w:r>
      <w:r w:rsidR="00BA3D89">
        <w:t>’</w:t>
      </w:r>
      <w:r>
        <w:t xml:space="preserve">s right </w:t>
      </w:r>
      <w:r w:rsidR="00A84DE9">
        <w:t xml:space="preserve">to </w:t>
      </w:r>
      <w:r>
        <w:t>legal aid</w:t>
      </w:r>
      <w:r w:rsidR="00A84DE9">
        <w:t xml:space="preserve"> to be restored</w:t>
      </w:r>
      <w:r>
        <w:t>.</w:t>
      </w:r>
    </w:p>
    <w:p w:rsidR="000A14F6" w:rsidRDefault="000A14F6" w:rsidP="000A14F6">
      <w:pPr>
        <w:pStyle w:val="ECHRHeading3"/>
      </w:pPr>
      <w:r>
        <w:lastRenderedPageBreak/>
        <w:t>3.</w:t>
      </w:r>
      <w:r w:rsidR="00965E4D">
        <w:t>  </w:t>
      </w:r>
      <w:r w:rsidR="00807B20">
        <w:t>M.A.</w:t>
      </w:r>
      <w:r w:rsidR="00BA3D89">
        <w:t>’</w:t>
      </w:r>
      <w:r>
        <w:t>s and L.M.</w:t>
      </w:r>
      <w:r w:rsidR="00BA3D89">
        <w:t>’</w:t>
      </w:r>
      <w:r>
        <w:t>s meeting with their representatives on 17</w:t>
      </w:r>
      <w:r w:rsidR="00965E4D">
        <w:t> </w:t>
      </w:r>
      <w:r>
        <w:t>December 2014</w:t>
      </w:r>
    </w:p>
    <w:p w:rsidR="009E1BDD" w:rsidRDefault="004979EF" w:rsidP="0071734C">
      <w:pPr>
        <w:pStyle w:val="ECHRPara"/>
      </w:pPr>
      <w:r>
        <w:fldChar w:fldCharType="begin"/>
      </w:r>
      <w:r>
        <w:instrText xml:space="preserve"> SEQ level0 \*arabic </w:instrText>
      </w:r>
      <w:r>
        <w:fldChar w:fldCharType="separate"/>
      </w:r>
      <w:r w:rsidR="00D21AD2">
        <w:rPr>
          <w:noProof/>
        </w:rPr>
        <w:t>51</w:t>
      </w:r>
      <w:r>
        <w:fldChar w:fldCharType="end"/>
      </w:r>
      <w:r>
        <w:t>.  </w:t>
      </w:r>
      <w:r w:rsidR="000A14F6">
        <w:t xml:space="preserve">On 17 December 2014 lawyers </w:t>
      </w:r>
      <w:r w:rsidR="00625D44">
        <w:t>Ms</w:t>
      </w:r>
      <w:r w:rsidR="00404E60">
        <w:t xml:space="preserve"> </w:t>
      </w:r>
      <w:proofErr w:type="spellStart"/>
      <w:r w:rsidR="000A14F6">
        <w:t>Golovanchuk</w:t>
      </w:r>
      <w:proofErr w:type="spellEnd"/>
      <w:r w:rsidR="000A14F6">
        <w:t xml:space="preserve"> and </w:t>
      </w:r>
      <w:r w:rsidR="00625D44">
        <w:t>Ms</w:t>
      </w:r>
      <w:r w:rsidR="00965E4D">
        <w:t> </w:t>
      </w:r>
      <w:proofErr w:type="spellStart"/>
      <w:r w:rsidR="000A14F6">
        <w:t>Yermolayeva</w:t>
      </w:r>
      <w:proofErr w:type="spellEnd"/>
      <w:r w:rsidR="000A14F6">
        <w:t xml:space="preserve"> met with the two applicants and </w:t>
      </w:r>
      <w:r w:rsidR="00A84DE9">
        <w:t xml:space="preserve">took affidavits </w:t>
      </w:r>
      <w:r w:rsidR="000A14F6">
        <w:t xml:space="preserve">from them </w:t>
      </w:r>
      <w:r w:rsidR="00A84DE9">
        <w:t>regarding</w:t>
      </w:r>
      <w:r w:rsidR="000A14F6">
        <w:t xml:space="preserve"> their detention and asylum request</w:t>
      </w:r>
      <w:r w:rsidR="00A84DE9">
        <w:t xml:space="preserve"> situation</w:t>
      </w:r>
      <w:r w:rsidR="000A14F6">
        <w:t>.</w:t>
      </w:r>
    </w:p>
    <w:bookmarkStart w:id="10" w:name="LMStatmt17Dec14"/>
    <w:p w:rsidR="009E1BDD" w:rsidRDefault="000A14F6" w:rsidP="0071734C">
      <w:pPr>
        <w:pStyle w:val="ECHRPara"/>
      </w:pPr>
      <w:r>
        <w:fldChar w:fldCharType="begin"/>
      </w:r>
      <w:r>
        <w:instrText xml:space="preserve"> SEQ level0 \*arabic </w:instrText>
      </w:r>
      <w:r>
        <w:fldChar w:fldCharType="separate"/>
      </w:r>
      <w:r w:rsidR="00D21AD2">
        <w:rPr>
          <w:noProof/>
        </w:rPr>
        <w:t>52</w:t>
      </w:r>
      <w:r>
        <w:fldChar w:fldCharType="end"/>
      </w:r>
      <w:bookmarkEnd w:id="10"/>
      <w:r>
        <w:t>.  </w:t>
      </w:r>
      <w:r w:rsidR="00680978">
        <w:t xml:space="preserve">L.M. </w:t>
      </w:r>
      <w:r>
        <w:t xml:space="preserve">stated that he </w:t>
      </w:r>
      <w:r w:rsidR="002304B9">
        <w:t>was</w:t>
      </w:r>
      <w:r>
        <w:t xml:space="preserve"> detained in a spacious room with three other detainees; </w:t>
      </w:r>
      <w:r w:rsidR="00A84DE9">
        <w:t>it</w:t>
      </w:r>
      <w:r>
        <w:t xml:space="preserve"> had a toilet and running cold water. </w:t>
      </w:r>
      <w:r w:rsidR="00A84DE9">
        <w:t>A h</w:t>
      </w:r>
      <w:r>
        <w:t>ot shower could be taken daily on another floor</w:t>
      </w:r>
      <w:r w:rsidR="00BF01E1">
        <w:t xml:space="preserve"> upon request</w:t>
      </w:r>
      <w:r>
        <w:t>. The room was clean and had sufficient natural and artificial lighting,</w:t>
      </w:r>
      <w:r w:rsidR="001D0EA3">
        <w:t xml:space="preserve"> which was switched off during the night</w:t>
      </w:r>
      <w:r>
        <w:t xml:space="preserve">. There were no hygiene problems </w:t>
      </w:r>
      <w:r w:rsidR="00A84DE9">
        <w:t>with</w:t>
      </w:r>
      <w:r>
        <w:t xml:space="preserve"> </w:t>
      </w:r>
      <w:r w:rsidR="001D0EA3">
        <w:t>insects</w:t>
      </w:r>
      <w:r w:rsidR="00A84DE9">
        <w:t xml:space="preserve"> and</w:t>
      </w:r>
      <w:r>
        <w:t xml:space="preserve"> </w:t>
      </w:r>
      <w:r w:rsidR="001D0EA3">
        <w:t xml:space="preserve">the bed linen </w:t>
      </w:r>
      <w:r w:rsidR="00A84DE9">
        <w:t xml:space="preserve">was </w:t>
      </w:r>
      <w:r w:rsidR="001D0EA3">
        <w:t xml:space="preserve">changed once a week. </w:t>
      </w:r>
      <w:r w:rsidR="00A84DE9">
        <w:t>D</w:t>
      </w:r>
      <w:r w:rsidR="001D0EA3">
        <w:t xml:space="preserve">etainees spent their time </w:t>
      </w:r>
      <w:r w:rsidR="00BF01E1">
        <w:t xml:space="preserve">in </w:t>
      </w:r>
      <w:r w:rsidR="001D0EA3">
        <w:t>the</w:t>
      </w:r>
      <w:r w:rsidR="00A84DE9">
        <w:t>ir</w:t>
      </w:r>
      <w:r w:rsidR="001D0EA3">
        <w:t xml:space="preserve"> rooms, </w:t>
      </w:r>
      <w:r w:rsidR="00A84DE9">
        <w:t xml:space="preserve">day and </w:t>
      </w:r>
      <w:r w:rsidR="001D0EA3">
        <w:t xml:space="preserve">night, except </w:t>
      </w:r>
      <w:r w:rsidR="00A84DE9">
        <w:t xml:space="preserve">when they went for </w:t>
      </w:r>
      <w:r w:rsidR="001D0EA3">
        <w:t xml:space="preserve">walks. </w:t>
      </w:r>
      <w:r w:rsidR="007E1797">
        <w:t xml:space="preserve">There were four nurses who administered medical </w:t>
      </w:r>
      <w:r w:rsidR="00A84DE9">
        <w:t xml:space="preserve">treatment </w:t>
      </w:r>
      <w:r w:rsidR="007E1797">
        <w:t xml:space="preserve">as necessary. </w:t>
      </w:r>
      <w:r w:rsidR="001D0EA3">
        <w:t xml:space="preserve">He insisted that he wanted his asylum claim to be considered and </w:t>
      </w:r>
      <w:r w:rsidR="00747357">
        <w:t>un</w:t>
      </w:r>
      <w:r w:rsidR="002545CF">
        <w:t>restricted</w:t>
      </w:r>
      <w:r w:rsidR="00747357">
        <w:t xml:space="preserve"> access </w:t>
      </w:r>
      <w:r w:rsidR="00A84DE9">
        <w:t xml:space="preserve">and the ability to communicate </w:t>
      </w:r>
      <w:r w:rsidR="002545CF">
        <w:t>with</w:t>
      </w:r>
      <w:r w:rsidR="00747357">
        <w:t xml:space="preserve"> his representative, inc</w:t>
      </w:r>
      <w:r w:rsidR="00680978">
        <w:t xml:space="preserve">luding in writing. When asked, </w:t>
      </w:r>
      <w:r w:rsidR="00747357">
        <w:t>L.</w:t>
      </w:r>
      <w:r w:rsidR="00680978">
        <w:t>M.</w:t>
      </w:r>
      <w:r w:rsidR="00747357">
        <w:t xml:space="preserve"> stated that he had been </w:t>
      </w:r>
      <w:r w:rsidR="00A84DE9">
        <w:t xml:space="preserve">assaulted </w:t>
      </w:r>
      <w:r w:rsidR="00747357">
        <w:t>by the staff on 27 August 2014</w:t>
      </w:r>
      <w:r w:rsidR="00A84DE9">
        <w:t xml:space="preserve"> after </w:t>
      </w:r>
      <w:r w:rsidR="00747357">
        <w:t>some of the detainees</w:t>
      </w:r>
      <w:r w:rsidR="00A84DE9">
        <w:t xml:space="preserve"> had escaped; </w:t>
      </w:r>
      <w:r w:rsidR="00747357">
        <w:t xml:space="preserve">one of the wardens </w:t>
      </w:r>
      <w:r w:rsidR="00BF01E1">
        <w:t xml:space="preserve">had </w:t>
      </w:r>
      <w:r w:rsidR="00747357">
        <w:t>twisted his hand</w:t>
      </w:r>
      <w:r w:rsidR="00A84DE9" w:rsidRPr="00A84DE9">
        <w:t xml:space="preserve"> </w:t>
      </w:r>
      <w:r w:rsidR="00A84DE9">
        <w:t>painfully</w:t>
      </w:r>
      <w:r w:rsidR="00747357">
        <w:t>.</w:t>
      </w:r>
    </w:p>
    <w:p w:rsidR="009E1BDD" w:rsidRDefault="00747357" w:rsidP="0071734C">
      <w:pPr>
        <w:pStyle w:val="ECHRPara"/>
      </w:pPr>
      <w:r>
        <w:fldChar w:fldCharType="begin"/>
      </w:r>
      <w:r>
        <w:instrText xml:space="preserve"> SEQ level0 \*arabic </w:instrText>
      </w:r>
      <w:r>
        <w:fldChar w:fldCharType="separate"/>
      </w:r>
      <w:r w:rsidR="00D21AD2">
        <w:rPr>
          <w:noProof/>
        </w:rPr>
        <w:t>53</w:t>
      </w:r>
      <w:r>
        <w:fldChar w:fldCharType="end"/>
      </w:r>
      <w:r>
        <w:t>.  </w:t>
      </w:r>
      <w:r w:rsidR="00807B20">
        <w:t>M.A.</w:t>
      </w:r>
      <w:r>
        <w:t xml:space="preserve"> stated that </w:t>
      </w:r>
      <w:r w:rsidR="00340BD7">
        <w:t xml:space="preserve">while at the detention centre, </w:t>
      </w:r>
      <w:r>
        <w:t>he had been beaten twice</w:t>
      </w:r>
      <w:r w:rsidR="00517C12">
        <w:t xml:space="preserve">, </w:t>
      </w:r>
      <w:r>
        <w:t xml:space="preserve">in July 2014, when the staff </w:t>
      </w:r>
      <w:r w:rsidR="00BF01E1">
        <w:t xml:space="preserve">had </w:t>
      </w:r>
      <w:r>
        <w:t xml:space="preserve">found him to be in possession of </w:t>
      </w:r>
      <w:r w:rsidR="00517C12">
        <w:t>the Koran</w:t>
      </w:r>
      <w:r>
        <w:t xml:space="preserve">, and on 25 August, when one of the Syrian detainees </w:t>
      </w:r>
      <w:r w:rsidR="00C478E3">
        <w:t xml:space="preserve">had </w:t>
      </w:r>
      <w:r>
        <w:t xml:space="preserve">escaped. </w:t>
      </w:r>
      <w:r w:rsidR="00C478E3">
        <w:t xml:space="preserve">He had been </w:t>
      </w:r>
      <w:r>
        <w:t xml:space="preserve">beaten </w:t>
      </w:r>
      <w:r w:rsidR="002304B9">
        <w:t>so that he would disclose</w:t>
      </w:r>
      <w:r>
        <w:t xml:space="preserve"> details about the escape. After the beatings he </w:t>
      </w:r>
      <w:r w:rsidR="00C478E3">
        <w:t xml:space="preserve">had </w:t>
      </w:r>
      <w:r>
        <w:t xml:space="preserve">stayed in bed for three days and could not eat. He stated that he </w:t>
      </w:r>
      <w:r w:rsidR="00C478E3">
        <w:t xml:space="preserve">had </w:t>
      </w:r>
      <w:r>
        <w:t xml:space="preserve">not </w:t>
      </w:r>
      <w:r w:rsidR="00C478E3">
        <w:t xml:space="preserve">been </w:t>
      </w:r>
      <w:r>
        <w:t>allowed to</w:t>
      </w:r>
      <w:r w:rsidR="00C478E3">
        <w:t xml:space="preserve"> make</w:t>
      </w:r>
      <w:r>
        <w:t xml:space="preserve"> complaints or</w:t>
      </w:r>
      <w:r w:rsidR="00C478E3">
        <w:t xml:space="preserve"> send</w:t>
      </w:r>
      <w:r>
        <w:t xml:space="preserve"> letters, </w:t>
      </w:r>
      <w:r w:rsidR="00C478E3">
        <w:t xml:space="preserve">and </w:t>
      </w:r>
      <w:r>
        <w:t xml:space="preserve">had been denied access to his representatives </w:t>
      </w:r>
      <w:r w:rsidR="00C478E3">
        <w:t xml:space="preserve">and </w:t>
      </w:r>
      <w:r>
        <w:t xml:space="preserve">relatives. He </w:t>
      </w:r>
      <w:r w:rsidR="00C478E3">
        <w:t xml:space="preserve">had </w:t>
      </w:r>
      <w:r>
        <w:t xml:space="preserve">not </w:t>
      </w:r>
      <w:r w:rsidR="00C478E3">
        <w:t xml:space="preserve">been </w:t>
      </w:r>
      <w:r>
        <w:t xml:space="preserve">allowed to attend the court </w:t>
      </w:r>
      <w:r w:rsidR="00C478E3">
        <w:t>hearing on</w:t>
      </w:r>
      <w:r>
        <w:t xml:space="preserve"> 28 November 2014 (see paragraph </w:t>
      </w:r>
      <w:r w:rsidR="00E83AD8">
        <w:rPr>
          <w:noProof/>
        </w:rPr>
        <w:t>36</w:t>
      </w:r>
      <w:r>
        <w:t xml:space="preserve"> above) even though he </w:t>
      </w:r>
      <w:r w:rsidR="00BF01E1">
        <w:t xml:space="preserve">had </w:t>
      </w:r>
      <w:r>
        <w:t>asked to. He also confirmed that he</w:t>
      </w:r>
      <w:r w:rsidR="00C478E3">
        <w:t xml:space="preserve"> had</w:t>
      </w:r>
      <w:r>
        <w:t xml:space="preserve"> wanted to meet with his representatives</w:t>
      </w:r>
      <w:r w:rsidR="00C478E3">
        <w:t>,</w:t>
      </w:r>
      <w:r>
        <w:t xml:space="preserve"> including </w:t>
      </w:r>
      <w:r w:rsidR="00625D44">
        <w:t>Ms</w:t>
      </w:r>
      <w:r>
        <w:t xml:space="preserve"> </w:t>
      </w:r>
      <w:proofErr w:type="spellStart"/>
      <w:r>
        <w:t>Lyubov</w:t>
      </w:r>
      <w:proofErr w:type="spellEnd"/>
      <w:r>
        <w:t xml:space="preserve"> M.-E. </w:t>
      </w:r>
      <w:proofErr w:type="gramStart"/>
      <w:r>
        <w:t>and</w:t>
      </w:r>
      <w:proofErr w:type="gramEnd"/>
      <w:r>
        <w:t xml:space="preserve"> </w:t>
      </w:r>
      <w:r w:rsidR="00C478E3">
        <w:t xml:space="preserve">had </w:t>
      </w:r>
      <w:r>
        <w:t xml:space="preserve">expected his claim for asylum to be processed. He stated that the FMS staff had threatened him and told him that his complaints would not help and that he would </w:t>
      </w:r>
      <w:r w:rsidR="00C478E3">
        <w:t xml:space="preserve">be </w:t>
      </w:r>
      <w:r>
        <w:t>spend</w:t>
      </w:r>
      <w:r w:rsidR="00C478E3">
        <w:t>ing</w:t>
      </w:r>
      <w:r>
        <w:t xml:space="preserve"> two years in prison anyway.</w:t>
      </w:r>
    </w:p>
    <w:p w:rsidR="009E1BDD" w:rsidRDefault="004E0BA3" w:rsidP="0071734C">
      <w:pPr>
        <w:pStyle w:val="ECHRPara"/>
      </w:pPr>
      <w:r>
        <w:fldChar w:fldCharType="begin"/>
      </w:r>
      <w:r>
        <w:instrText xml:space="preserve"> SEQ level0 \*arabic </w:instrText>
      </w:r>
      <w:r>
        <w:fldChar w:fldCharType="separate"/>
      </w:r>
      <w:r w:rsidR="00D21AD2">
        <w:rPr>
          <w:noProof/>
        </w:rPr>
        <w:t>54</w:t>
      </w:r>
      <w:r>
        <w:fldChar w:fldCharType="end"/>
      </w:r>
      <w:r>
        <w:t>.  Following these submission</w:t>
      </w:r>
      <w:r w:rsidR="00C478E3">
        <w:t>s</w:t>
      </w:r>
      <w:r>
        <w:t>, on 17 December 2014 the applicants</w:t>
      </w:r>
      <w:r w:rsidR="00BA3D89">
        <w:t>’</w:t>
      </w:r>
      <w:r>
        <w:t xml:space="preserve"> lawyers wrote a letter to the Kaluga </w:t>
      </w:r>
      <w:r w:rsidR="00813853">
        <w:t>r</w:t>
      </w:r>
      <w:r>
        <w:t xml:space="preserve">egional </w:t>
      </w:r>
      <w:r w:rsidR="00813853">
        <w:t>p</w:t>
      </w:r>
      <w:r>
        <w:t>rosecutor</w:t>
      </w:r>
      <w:r w:rsidR="00BA3D89">
        <w:t>’</w:t>
      </w:r>
      <w:r>
        <w:t xml:space="preserve">s </w:t>
      </w:r>
      <w:r w:rsidR="00813853">
        <w:t>office</w:t>
      </w:r>
      <w:r w:rsidR="00C478E3">
        <w:t xml:space="preserve"> pointing</w:t>
      </w:r>
      <w:r>
        <w:t xml:space="preserve"> </w:t>
      </w:r>
      <w:r w:rsidR="00264675">
        <w:t>a</w:t>
      </w:r>
      <w:r>
        <w:t>t the illegal nature of the applicants</w:t>
      </w:r>
      <w:r w:rsidR="00BA3D89">
        <w:t>’</w:t>
      </w:r>
      <w:r>
        <w:t xml:space="preserve"> detention, since their expulsion could not be carried out</w:t>
      </w:r>
      <w:r w:rsidR="00C478E3">
        <w:t xml:space="preserve"> and there were no </w:t>
      </w:r>
      <w:r w:rsidR="00264675">
        <w:t xml:space="preserve">terms or possibility of review of </w:t>
      </w:r>
      <w:r w:rsidR="00C478E3">
        <w:t xml:space="preserve">the </w:t>
      </w:r>
      <w:r w:rsidR="00264675">
        <w:t>detention. They also stressed that the applicants</w:t>
      </w:r>
      <w:r w:rsidR="00BA3D89">
        <w:t>’</w:t>
      </w:r>
      <w:r w:rsidR="00264675">
        <w:t xml:space="preserve"> condition</w:t>
      </w:r>
      <w:r w:rsidR="00C478E3">
        <w:t>s</w:t>
      </w:r>
      <w:r w:rsidR="00264675">
        <w:t xml:space="preserve"> of detention were similar to </w:t>
      </w:r>
      <w:r w:rsidR="00C478E3">
        <w:t>people</w:t>
      </w:r>
      <w:r w:rsidR="00264675">
        <w:t xml:space="preserve"> in pre-trial detention, while the restrictions on visits and correspondence were illegal and in direct contradiction </w:t>
      </w:r>
      <w:r w:rsidR="00C478E3">
        <w:t xml:space="preserve">to </w:t>
      </w:r>
      <w:r w:rsidR="00264675">
        <w:t xml:space="preserve">the information contained in the letters </w:t>
      </w:r>
      <w:r w:rsidR="0035037B">
        <w:t xml:space="preserve">from </w:t>
      </w:r>
      <w:r w:rsidR="00264675">
        <w:t>the detention centre administration. The letter stressed that the absence of contact with relatives, lawyers and representatives amounted</w:t>
      </w:r>
      <w:r w:rsidR="00216D53">
        <w:t xml:space="preserve"> in itself</w:t>
      </w:r>
      <w:r w:rsidR="00264675">
        <w:t xml:space="preserve"> to inhuman treatment since it </w:t>
      </w:r>
      <w:r w:rsidR="002304B9">
        <w:t xml:space="preserve">had serious </w:t>
      </w:r>
      <w:r w:rsidR="00264675">
        <w:t>psychological effect</w:t>
      </w:r>
      <w:r w:rsidR="002304B9">
        <w:t>s</w:t>
      </w:r>
      <w:r w:rsidR="00264675">
        <w:t xml:space="preserve"> on the applicants.</w:t>
      </w:r>
    </w:p>
    <w:p w:rsidR="009E1BDD" w:rsidRDefault="00846B2B" w:rsidP="0071734C">
      <w:pPr>
        <w:pStyle w:val="ECHRPara"/>
      </w:pPr>
      <w:r>
        <w:fldChar w:fldCharType="begin"/>
      </w:r>
      <w:r>
        <w:instrText xml:space="preserve"> SEQ level0 \*arabic </w:instrText>
      </w:r>
      <w:r>
        <w:fldChar w:fldCharType="separate"/>
      </w:r>
      <w:r w:rsidR="00D21AD2">
        <w:rPr>
          <w:noProof/>
        </w:rPr>
        <w:t>55</w:t>
      </w:r>
      <w:r>
        <w:fldChar w:fldCharType="end"/>
      </w:r>
      <w:r>
        <w:t xml:space="preserve">.  On the same day </w:t>
      </w:r>
      <w:r w:rsidR="00807B20">
        <w:t>M.A.</w:t>
      </w:r>
      <w:r>
        <w:t xml:space="preserve"> </w:t>
      </w:r>
      <w:r w:rsidR="00A410BD">
        <w:t>signed a request</w:t>
      </w:r>
      <w:r w:rsidR="0035037B">
        <w:t xml:space="preserve"> addressed</w:t>
      </w:r>
      <w:r w:rsidR="00A410BD">
        <w:t xml:space="preserve"> to the Kaluga FMS to </w:t>
      </w:r>
      <w:r w:rsidR="0035037B">
        <w:t xml:space="preserve">be </w:t>
      </w:r>
      <w:r w:rsidR="00A410BD">
        <w:t>allow</w:t>
      </w:r>
      <w:r w:rsidR="0035037B">
        <w:t>ed</w:t>
      </w:r>
      <w:r w:rsidR="00A410BD">
        <w:t xml:space="preserve"> meetings with his representatives</w:t>
      </w:r>
      <w:r w:rsidR="0035037B">
        <w:t>,</w:t>
      </w:r>
      <w:r w:rsidR="00A410BD">
        <w:t xml:space="preserve"> </w:t>
      </w:r>
      <w:r w:rsidR="00625D44">
        <w:t>Ms</w:t>
      </w:r>
      <w:r w:rsidR="00BF01E1">
        <w:t xml:space="preserve"> </w:t>
      </w:r>
      <w:proofErr w:type="spellStart"/>
      <w:r w:rsidR="00BF01E1">
        <w:t>Golovanchuk</w:t>
      </w:r>
      <w:proofErr w:type="spellEnd"/>
      <w:r w:rsidR="00BF01E1">
        <w:t xml:space="preserve">, </w:t>
      </w:r>
      <w:r w:rsidR="00625D44">
        <w:lastRenderedPageBreak/>
        <w:t>Ms</w:t>
      </w:r>
      <w:r w:rsidR="00F43E21">
        <w:t> </w:t>
      </w:r>
      <w:proofErr w:type="spellStart"/>
      <w:r w:rsidR="00A410BD">
        <w:t>Yermolayeva</w:t>
      </w:r>
      <w:proofErr w:type="spellEnd"/>
      <w:r w:rsidR="00A410BD">
        <w:t xml:space="preserve"> and </w:t>
      </w:r>
      <w:r w:rsidR="00625D44">
        <w:t>Ms</w:t>
      </w:r>
      <w:r w:rsidR="00A410BD">
        <w:t xml:space="preserve"> </w:t>
      </w:r>
      <w:proofErr w:type="spellStart"/>
      <w:r w:rsidR="00A410BD">
        <w:t>Lyubov</w:t>
      </w:r>
      <w:proofErr w:type="spellEnd"/>
      <w:r w:rsidR="00A410BD">
        <w:t xml:space="preserve"> M.-E., as well as his brother </w:t>
      </w:r>
      <w:r w:rsidR="00134A95">
        <w:t>Mr </w:t>
      </w:r>
      <w:proofErr w:type="spellStart"/>
      <w:r w:rsidR="00134A95">
        <w:t>Akhmad</w:t>
      </w:r>
      <w:proofErr w:type="spellEnd"/>
      <w:r w:rsidR="00134A95">
        <w:t> </w:t>
      </w:r>
      <w:r w:rsidR="00A410BD">
        <w:t>A. and sister-in-law</w:t>
      </w:r>
      <w:r w:rsidR="002304B9">
        <w:t xml:space="preserve"> </w:t>
      </w:r>
      <w:r w:rsidR="00F43E21">
        <w:t xml:space="preserve">Ms </w:t>
      </w:r>
      <w:proofErr w:type="spellStart"/>
      <w:r w:rsidR="00A410BD">
        <w:t>Albina</w:t>
      </w:r>
      <w:proofErr w:type="spellEnd"/>
      <w:r w:rsidR="00A410BD">
        <w:t xml:space="preserve"> A.</w:t>
      </w:r>
    </w:p>
    <w:p w:rsidR="009E1BDD" w:rsidRDefault="00340BD7" w:rsidP="00340BD7">
      <w:pPr>
        <w:pStyle w:val="ECHRHeading3"/>
      </w:pPr>
      <w:r>
        <w:t>4.  Information about the applicants</w:t>
      </w:r>
      <w:r w:rsidR="00BA3D89">
        <w:t>’</w:t>
      </w:r>
      <w:r>
        <w:t xml:space="preserve"> conditions of detention submitted by the Government</w:t>
      </w:r>
    </w:p>
    <w:p w:rsidR="009E1BDD" w:rsidRDefault="00340BD7" w:rsidP="00340BD7">
      <w:pPr>
        <w:pStyle w:val="ECHRPara"/>
      </w:pPr>
      <w:r>
        <w:fldChar w:fldCharType="begin"/>
      </w:r>
      <w:r>
        <w:instrText xml:space="preserve"> SEQ level0 \*arabic </w:instrText>
      </w:r>
      <w:r>
        <w:fldChar w:fldCharType="separate"/>
      </w:r>
      <w:r w:rsidR="00D21AD2">
        <w:rPr>
          <w:noProof/>
        </w:rPr>
        <w:t>56</w:t>
      </w:r>
      <w:r>
        <w:fldChar w:fldCharType="end"/>
      </w:r>
      <w:r>
        <w:t>.  In reply to the Court</w:t>
      </w:r>
      <w:r w:rsidR="00BA3D89">
        <w:t>’</w:t>
      </w:r>
      <w:r>
        <w:t xml:space="preserve">s additional </w:t>
      </w:r>
      <w:r w:rsidR="008A0690">
        <w:t>questions</w:t>
      </w:r>
      <w:r>
        <w:t xml:space="preserve">, </w:t>
      </w:r>
      <w:r w:rsidR="00A60170">
        <w:t xml:space="preserve">in April 2015 </w:t>
      </w:r>
      <w:r>
        <w:t>the Government submitted more detailed information about the applicants</w:t>
      </w:r>
      <w:r w:rsidR="00BA3D89">
        <w:t>’</w:t>
      </w:r>
      <w:r>
        <w:t xml:space="preserve"> conditions of detention.</w:t>
      </w:r>
    </w:p>
    <w:p w:rsidR="009E1BDD" w:rsidRDefault="00340BD7" w:rsidP="00340BD7">
      <w:pPr>
        <w:pStyle w:val="ECHRPara"/>
      </w:pPr>
      <w:r>
        <w:fldChar w:fldCharType="begin"/>
      </w:r>
      <w:r>
        <w:instrText xml:space="preserve"> SEQ level0 \*arabic </w:instrText>
      </w:r>
      <w:r>
        <w:fldChar w:fldCharType="separate"/>
      </w:r>
      <w:r w:rsidR="00D21AD2">
        <w:rPr>
          <w:noProof/>
        </w:rPr>
        <w:t>57</w:t>
      </w:r>
      <w:r>
        <w:fldChar w:fldCharType="end"/>
      </w:r>
      <w:r>
        <w:t>.  </w:t>
      </w:r>
      <w:r w:rsidR="00C546CA">
        <w:t>On 30 March 201</w:t>
      </w:r>
      <w:r w:rsidR="008A0690">
        <w:t>4</w:t>
      </w:r>
      <w:r w:rsidR="00C546CA">
        <w:t xml:space="preserve"> the head of the Kaluga FMS ordered that meetings with </w:t>
      </w:r>
      <w:r w:rsidR="0035037B">
        <w:t xml:space="preserve">people </w:t>
      </w:r>
      <w:r w:rsidR="00C546CA">
        <w:t xml:space="preserve">detained </w:t>
      </w:r>
      <w:r w:rsidR="002304B9">
        <w:t>in</w:t>
      </w:r>
      <w:r w:rsidR="00C546CA">
        <w:t xml:space="preserve"> the detention centre could be authorised for close relatives </w:t>
      </w:r>
      <w:r w:rsidR="008A0690">
        <w:t xml:space="preserve">by </w:t>
      </w:r>
      <w:r w:rsidR="0031161B">
        <w:t>its</w:t>
      </w:r>
      <w:r w:rsidR="008A0690">
        <w:t xml:space="preserve"> head </w:t>
      </w:r>
      <w:r w:rsidR="00C546CA">
        <w:t xml:space="preserve">upon presentation of documents </w:t>
      </w:r>
      <w:r w:rsidR="008A0690">
        <w:t>proving</w:t>
      </w:r>
      <w:r w:rsidR="00C546CA">
        <w:t xml:space="preserve"> </w:t>
      </w:r>
      <w:r w:rsidR="0035037B">
        <w:t>they were related</w:t>
      </w:r>
      <w:r w:rsidR="00C546CA">
        <w:t xml:space="preserve">. </w:t>
      </w:r>
      <w:r w:rsidR="0035037B">
        <w:t>V</w:t>
      </w:r>
      <w:r w:rsidR="00C546CA">
        <w:t xml:space="preserve">isits </w:t>
      </w:r>
      <w:r w:rsidR="008A0690">
        <w:t>by</w:t>
      </w:r>
      <w:r w:rsidR="00C546CA">
        <w:t xml:space="preserve"> representat</w:t>
      </w:r>
      <w:r w:rsidR="008A0690">
        <w:t>ives and human rights defenders</w:t>
      </w:r>
      <w:r w:rsidR="00C546CA">
        <w:t xml:space="preserve"> </w:t>
      </w:r>
      <w:r w:rsidR="0035037B">
        <w:t xml:space="preserve">could </w:t>
      </w:r>
      <w:r w:rsidR="008A0690">
        <w:t>be authorised</w:t>
      </w:r>
      <w:r w:rsidR="00C546CA">
        <w:t xml:space="preserve"> </w:t>
      </w:r>
      <w:r w:rsidR="008A0690">
        <w:t xml:space="preserve">by </w:t>
      </w:r>
      <w:r w:rsidR="00C546CA">
        <w:t xml:space="preserve">the head of the Kaluga FMS, and the detainee </w:t>
      </w:r>
      <w:r w:rsidR="00CD76CB">
        <w:t xml:space="preserve">could </w:t>
      </w:r>
      <w:r w:rsidR="00C546CA">
        <w:t>submit a written request to the</w:t>
      </w:r>
      <w:r w:rsidR="0035037B">
        <w:t xml:space="preserve"> head of the</w:t>
      </w:r>
      <w:r w:rsidR="00C546CA">
        <w:t xml:space="preserve"> </w:t>
      </w:r>
      <w:r w:rsidR="0035037B">
        <w:t xml:space="preserve">detention </w:t>
      </w:r>
      <w:r w:rsidR="00C546CA">
        <w:t>centre.</w:t>
      </w:r>
    </w:p>
    <w:bookmarkStart w:id="11" w:name="GovCond1"/>
    <w:p w:rsidR="009E1BDD" w:rsidRDefault="00DA0B45" w:rsidP="00340BD7">
      <w:pPr>
        <w:pStyle w:val="ECHRPara"/>
      </w:pPr>
      <w:r>
        <w:fldChar w:fldCharType="begin"/>
      </w:r>
      <w:r>
        <w:instrText xml:space="preserve"> SEQ level0 \*arabic </w:instrText>
      </w:r>
      <w:r>
        <w:fldChar w:fldCharType="separate"/>
      </w:r>
      <w:r w:rsidR="00D21AD2">
        <w:rPr>
          <w:noProof/>
        </w:rPr>
        <w:t>58</w:t>
      </w:r>
      <w:r>
        <w:fldChar w:fldCharType="end"/>
      </w:r>
      <w:bookmarkEnd w:id="11"/>
      <w:r>
        <w:t xml:space="preserve">.  According to the </w:t>
      </w:r>
      <w:r w:rsidR="0035037B">
        <w:t>detention centre</w:t>
      </w:r>
      <w:r w:rsidR="00BA3D89">
        <w:t>’</w:t>
      </w:r>
      <w:r w:rsidR="0035037B">
        <w:t xml:space="preserve">s </w:t>
      </w:r>
      <w:r>
        <w:t xml:space="preserve">daily routine </w:t>
      </w:r>
      <w:r w:rsidR="008A0690">
        <w:t>issued</w:t>
      </w:r>
      <w:r>
        <w:t xml:space="preserve"> by </w:t>
      </w:r>
      <w:r w:rsidR="004F6663">
        <w:t xml:space="preserve">its </w:t>
      </w:r>
      <w:r w:rsidR="00CD76CB">
        <w:t xml:space="preserve">head </w:t>
      </w:r>
      <w:r>
        <w:t>on 15 November 201</w:t>
      </w:r>
      <w:r w:rsidR="008A0690">
        <w:t>4</w:t>
      </w:r>
      <w:r w:rsidR="00384355">
        <w:t xml:space="preserve">, daily walks </w:t>
      </w:r>
      <w:r w:rsidR="00CD76CB">
        <w:t xml:space="preserve">were to </w:t>
      </w:r>
      <w:r w:rsidR="00384355">
        <w:t xml:space="preserve">last no less than </w:t>
      </w:r>
      <w:r w:rsidR="00CD76CB">
        <w:t xml:space="preserve">an </w:t>
      </w:r>
      <w:r w:rsidR="00384355">
        <w:t xml:space="preserve">hour per inmate. </w:t>
      </w:r>
      <w:r w:rsidR="00CD76CB">
        <w:t xml:space="preserve">An </w:t>
      </w:r>
      <w:r w:rsidR="00384355">
        <w:t xml:space="preserve">hour </w:t>
      </w:r>
      <w:r w:rsidR="00CD76CB">
        <w:t>a</w:t>
      </w:r>
      <w:r w:rsidR="00384355">
        <w:t xml:space="preserve"> day was set aside for telephone contact and </w:t>
      </w:r>
      <w:r w:rsidR="00CD76CB">
        <w:t xml:space="preserve">another </w:t>
      </w:r>
      <w:r w:rsidR="00384355">
        <w:t>hour between 11</w:t>
      </w:r>
      <w:r w:rsidR="00CD76CB">
        <w:t>.</w:t>
      </w:r>
      <w:r w:rsidR="00384355">
        <w:t>30</w:t>
      </w:r>
      <w:r w:rsidR="00CD76CB">
        <w:t> a.m.</w:t>
      </w:r>
      <w:r w:rsidR="00384355">
        <w:t xml:space="preserve"> and 12</w:t>
      </w:r>
      <w:r w:rsidR="00CD76CB">
        <w:t>.</w:t>
      </w:r>
      <w:r w:rsidR="00384355">
        <w:t>30</w:t>
      </w:r>
      <w:r w:rsidR="00CD76CB">
        <w:t> p.m.</w:t>
      </w:r>
      <w:r w:rsidR="00384355">
        <w:t xml:space="preserve"> </w:t>
      </w:r>
      <w:r w:rsidR="004F6663">
        <w:t>for</w:t>
      </w:r>
      <w:r w:rsidR="00384355">
        <w:t xml:space="preserve"> meetings</w:t>
      </w:r>
      <w:r w:rsidR="00AB6117">
        <w:t xml:space="preserve"> with visitors and </w:t>
      </w:r>
      <w:r w:rsidR="00CD76CB">
        <w:t xml:space="preserve">receiving </w:t>
      </w:r>
      <w:r w:rsidR="00AB6117">
        <w:t xml:space="preserve">parcels. </w:t>
      </w:r>
      <w:r w:rsidR="00CD76CB">
        <w:t xml:space="preserve">An </w:t>
      </w:r>
      <w:r w:rsidR="00AB6117">
        <w:t>hour every day was set aside for meetings with the administration.</w:t>
      </w:r>
    </w:p>
    <w:bookmarkStart w:id="12" w:name="GovCond2MedAid"/>
    <w:p w:rsidR="009E1BDD" w:rsidRDefault="00C546CA" w:rsidP="00340BD7">
      <w:pPr>
        <w:pStyle w:val="ECHRPara"/>
      </w:pPr>
      <w:r>
        <w:fldChar w:fldCharType="begin"/>
      </w:r>
      <w:r>
        <w:instrText xml:space="preserve"> SEQ level0 \*arabic </w:instrText>
      </w:r>
      <w:r>
        <w:fldChar w:fldCharType="separate"/>
      </w:r>
      <w:r w:rsidR="00D21AD2">
        <w:rPr>
          <w:noProof/>
        </w:rPr>
        <w:t>59</w:t>
      </w:r>
      <w:r>
        <w:fldChar w:fldCharType="end"/>
      </w:r>
      <w:bookmarkEnd w:id="12"/>
      <w:r>
        <w:t>.  The Government submitted extracts from the applicants</w:t>
      </w:r>
      <w:r w:rsidR="00BA3D89">
        <w:t>’</w:t>
      </w:r>
      <w:r>
        <w:t xml:space="preserve"> medical files</w:t>
      </w:r>
      <w:r w:rsidR="00CD76CB">
        <w:t>, from which</w:t>
      </w:r>
      <w:r>
        <w:t xml:space="preserve"> it </w:t>
      </w:r>
      <w:r w:rsidR="00813853">
        <w:t xml:space="preserve">appears </w:t>
      </w:r>
      <w:r>
        <w:t>that</w:t>
      </w:r>
      <w:r w:rsidR="00CD76CB">
        <w:t xml:space="preserve"> they</w:t>
      </w:r>
      <w:r>
        <w:t xml:space="preserve"> had been examined upon arrival </w:t>
      </w:r>
      <w:r w:rsidR="00CD76CB">
        <w:t xml:space="preserve">at </w:t>
      </w:r>
      <w:r>
        <w:t>the centre and</w:t>
      </w:r>
      <w:r w:rsidR="008A0690">
        <w:t xml:space="preserve"> found</w:t>
      </w:r>
      <w:r w:rsidR="00CD76CB">
        <w:t xml:space="preserve"> to be</w:t>
      </w:r>
      <w:r w:rsidR="008A0690">
        <w:t xml:space="preserve"> in good health</w:t>
      </w:r>
      <w:r w:rsidR="00680978">
        <w:t>. A.A. had</w:t>
      </w:r>
      <w:r>
        <w:t xml:space="preserve"> been treated for bronchitis </w:t>
      </w:r>
      <w:r w:rsidR="00384355">
        <w:t xml:space="preserve">and pneumonia </w:t>
      </w:r>
      <w:r>
        <w:t xml:space="preserve">in June 2014, </w:t>
      </w:r>
      <w:r w:rsidR="00916133">
        <w:t>and</w:t>
      </w:r>
      <w:r w:rsidR="00CD76CB">
        <w:t xml:space="preserve"> </w:t>
      </w:r>
      <w:r>
        <w:t xml:space="preserve">on 14 July 2014 </w:t>
      </w:r>
      <w:r w:rsidR="008A0690">
        <w:t>his health was improving</w:t>
      </w:r>
      <w:r>
        <w:t xml:space="preserve">. </w:t>
      </w:r>
      <w:r w:rsidR="00A66294">
        <w:t>He</w:t>
      </w:r>
      <w:r w:rsidR="00CD76CB">
        <w:t xml:space="preserve"> had</w:t>
      </w:r>
      <w:r w:rsidR="00A66294">
        <w:t xml:space="preserve"> also had an incident of high blood pressure on 10 June, which </w:t>
      </w:r>
      <w:r w:rsidR="00CD76CB">
        <w:t xml:space="preserve">had been </w:t>
      </w:r>
      <w:r w:rsidR="00A66294">
        <w:t xml:space="preserve">successfully treated. L.M. </w:t>
      </w:r>
      <w:r w:rsidR="00CD76CB">
        <w:t xml:space="preserve">had been </w:t>
      </w:r>
      <w:r w:rsidR="00A66294">
        <w:t>diagnosed with pulpitis and gastric problems and</w:t>
      </w:r>
      <w:r w:rsidR="00CD76CB">
        <w:t xml:space="preserve"> had</w:t>
      </w:r>
      <w:r w:rsidR="00A66294">
        <w:t xml:space="preserve"> received treatment. He</w:t>
      </w:r>
      <w:r w:rsidR="00CD76CB">
        <w:t xml:space="preserve"> had</w:t>
      </w:r>
      <w:r w:rsidR="00A66294">
        <w:t xml:space="preserve"> </w:t>
      </w:r>
      <w:r w:rsidR="00CD76CB">
        <w:t xml:space="preserve">seen </w:t>
      </w:r>
      <w:r w:rsidR="00A66294">
        <w:t xml:space="preserve">the doctor on five occasions between 10 May 2014 and 17 February 2015. </w:t>
      </w:r>
      <w:r w:rsidR="00807B20">
        <w:t>M.A.</w:t>
      </w:r>
      <w:r w:rsidR="00A66294">
        <w:t xml:space="preserve"> ha</w:t>
      </w:r>
      <w:r w:rsidR="00CD76CB">
        <w:t>d</w:t>
      </w:r>
      <w:r w:rsidR="00A66294">
        <w:t xml:space="preserve"> not consulted </w:t>
      </w:r>
      <w:r w:rsidR="00CD76CB">
        <w:t xml:space="preserve">the </w:t>
      </w:r>
      <w:r w:rsidR="00A66294">
        <w:t>medical staff.</w:t>
      </w:r>
    </w:p>
    <w:bookmarkStart w:id="13" w:name="GovCond3Space"/>
    <w:p w:rsidR="009E1BDD" w:rsidRDefault="00DA0B45" w:rsidP="00340BD7">
      <w:pPr>
        <w:pStyle w:val="ECHRPara"/>
      </w:pPr>
      <w:r>
        <w:fldChar w:fldCharType="begin"/>
      </w:r>
      <w:r>
        <w:instrText xml:space="preserve"> SEQ level0 \*arabic </w:instrText>
      </w:r>
      <w:r>
        <w:fldChar w:fldCharType="separate"/>
      </w:r>
      <w:r w:rsidR="00D21AD2">
        <w:rPr>
          <w:noProof/>
        </w:rPr>
        <w:t>60</w:t>
      </w:r>
      <w:r>
        <w:fldChar w:fldCharType="end"/>
      </w:r>
      <w:bookmarkEnd w:id="13"/>
      <w:r>
        <w:t>.  </w:t>
      </w:r>
      <w:r w:rsidR="00384355">
        <w:t xml:space="preserve">According to the Government, L.M. and </w:t>
      </w:r>
      <w:r w:rsidR="00807B20">
        <w:t>M.A.</w:t>
      </w:r>
      <w:r w:rsidR="00384355">
        <w:t xml:space="preserve"> were detained in room no. 15 on the first floor of the two-storey building</w:t>
      </w:r>
      <w:r w:rsidR="00CD76CB">
        <w:t>, which</w:t>
      </w:r>
      <w:r w:rsidR="00384355">
        <w:t xml:space="preserve"> </w:t>
      </w:r>
      <w:r w:rsidR="008A0690">
        <w:t>measured</w:t>
      </w:r>
      <w:r w:rsidR="00384355">
        <w:t xml:space="preserve"> 47</w:t>
      </w:r>
      <w:r w:rsidR="00965E4D">
        <w:t> </w:t>
      </w:r>
      <w:r w:rsidR="00384355">
        <w:t xml:space="preserve">square metres and </w:t>
      </w:r>
      <w:r w:rsidR="008A0690">
        <w:t>accommodated</w:t>
      </w:r>
      <w:r w:rsidR="00384355">
        <w:t xml:space="preserve"> s</w:t>
      </w:r>
      <w:r w:rsidR="008A0690">
        <w:t xml:space="preserve">ix </w:t>
      </w:r>
      <w:r w:rsidR="00407CA1">
        <w:t>people</w:t>
      </w:r>
      <w:r w:rsidR="008A0690">
        <w:t>. A toilet was accessi</w:t>
      </w:r>
      <w:r w:rsidR="00384355">
        <w:t xml:space="preserve">ble from the room, </w:t>
      </w:r>
      <w:r w:rsidR="008A0690">
        <w:t>and</w:t>
      </w:r>
      <w:r w:rsidR="00384355">
        <w:t xml:space="preserve"> </w:t>
      </w:r>
      <w:r w:rsidR="0056580D">
        <w:t xml:space="preserve">there was </w:t>
      </w:r>
      <w:r w:rsidR="00384355">
        <w:t xml:space="preserve">a shared bathroom on the ground floor. The </w:t>
      </w:r>
      <w:r w:rsidR="008A0690">
        <w:t xml:space="preserve">outdoor exercise </w:t>
      </w:r>
      <w:r w:rsidR="00384355">
        <w:t xml:space="preserve">yard </w:t>
      </w:r>
      <w:r w:rsidR="008A0690">
        <w:t>measured</w:t>
      </w:r>
      <w:r w:rsidR="00384355">
        <w:t xml:space="preserve"> 180 square metres. The Government provided photos of the rooms, sanitary facilities, canteen and the yard.</w:t>
      </w:r>
    </w:p>
    <w:p w:rsidR="00014566" w:rsidRPr="00062973" w:rsidRDefault="00014566" w:rsidP="00014566">
      <w:pPr>
        <w:pStyle w:val="ECHRHeading1"/>
      </w:pPr>
      <w:r w:rsidRPr="00062973">
        <w:t>II.</w:t>
      </w:r>
      <w:proofErr w:type="gramStart"/>
      <w:r w:rsidRPr="00062973">
        <w:t>  RELEVANT</w:t>
      </w:r>
      <w:proofErr w:type="gramEnd"/>
      <w:r w:rsidRPr="00062973">
        <w:t xml:space="preserve"> DOMESTIC LAW AND PRACTICE</w:t>
      </w:r>
    </w:p>
    <w:p w:rsidR="0022234B" w:rsidRDefault="00965E4D" w:rsidP="0022234B">
      <w:pPr>
        <w:pStyle w:val="ECHRHeading2"/>
      </w:pPr>
      <w:r>
        <w:t>A.  </w:t>
      </w:r>
      <w:r w:rsidR="00344D0F">
        <w:t>Legislation relating to the</w:t>
      </w:r>
      <w:r w:rsidR="0022234B">
        <w:t xml:space="preserve"> expulsion and detention </w:t>
      </w:r>
      <w:r w:rsidR="00344D0F">
        <w:t>of foreign nationals</w:t>
      </w:r>
    </w:p>
    <w:bookmarkStart w:id="14" w:name="LawForeign"/>
    <w:p w:rsidR="00576E2F" w:rsidRPr="00576E2F" w:rsidRDefault="00C94B3B" w:rsidP="00576E2F">
      <w:pPr>
        <w:pStyle w:val="ECHRPara"/>
      </w:pPr>
      <w:r>
        <w:fldChar w:fldCharType="begin"/>
      </w:r>
      <w:r>
        <w:instrText xml:space="preserve"> SEQ level0 \*arabic </w:instrText>
      </w:r>
      <w:r>
        <w:fldChar w:fldCharType="separate"/>
      </w:r>
      <w:r w:rsidR="00D21AD2">
        <w:rPr>
          <w:noProof/>
        </w:rPr>
        <w:t>61</w:t>
      </w:r>
      <w:r>
        <w:fldChar w:fldCharType="end"/>
      </w:r>
      <w:bookmarkEnd w:id="14"/>
      <w:r w:rsidR="00014566" w:rsidRPr="00062973">
        <w:t>.  </w:t>
      </w:r>
      <w:r w:rsidR="00576E2F" w:rsidRPr="00576E2F">
        <w:t xml:space="preserve">Pursuant to section 34(5) of the Foreigners Act (Law no. 115-FZ of 25 July 2002), foreign nationals subject to administrative removal who have </w:t>
      </w:r>
      <w:r w:rsidR="00576E2F" w:rsidRPr="00576E2F">
        <w:lastRenderedPageBreak/>
        <w:t>been placed in custody pursuant to a court order are detained in special facilities pending execution of the decision on administrative removal.</w:t>
      </w:r>
    </w:p>
    <w:bookmarkStart w:id="15" w:name="LawCAO"/>
    <w:p w:rsidR="00576E2F" w:rsidRPr="00576E2F" w:rsidRDefault="00576E2F" w:rsidP="00576E2F">
      <w:pPr>
        <w:pStyle w:val="ECHRPara"/>
      </w:pPr>
      <w:r>
        <w:fldChar w:fldCharType="begin"/>
      </w:r>
      <w:r>
        <w:instrText xml:space="preserve"> SEQ level0 \*arabic </w:instrText>
      </w:r>
      <w:r>
        <w:fldChar w:fldCharType="separate"/>
      </w:r>
      <w:r w:rsidR="00D21AD2">
        <w:rPr>
          <w:noProof/>
        </w:rPr>
        <w:t>62</w:t>
      </w:r>
      <w:r>
        <w:fldChar w:fldCharType="end"/>
      </w:r>
      <w:bookmarkEnd w:id="15"/>
      <w:r>
        <w:t>.  </w:t>
      </w:r>
      <w:r w:rsidRPr="00576E2F">
        <w:t>Article 3.10 § 1 of the Code of Administrative Offences defines administrative removal as the forced and controlled removal of a foreign national or stateless person across the Russian border. Under Article 3.10 §</w:t>
      </w:r>
      <w:r w:rsidR="00965E4D">
        <w:t> </w:t>
      </w:r>
      <w:r w:rsidRPr="00576E2F">
        <w:t xml:space="preserve">2, administrative removal is imposed by a judge or, in cases where a foreign national or stateless person has committed an administrative offence upon entry </w:t>
      </w:r>
      <w:r w:rsidR="00407CA1">
        <w:t>in</w:t>
      </w:r>
      <w:r w:rsidRPr="00576E2F">
        <w:t xml:space="preserve">to the Russian Federation, by a competent public official. Under Articles 3.10 § 5, 27.1 § 1 and 27.19 § 2, for the purposes of </w:t>
      </w:r>
      <w:r w:rsidR="009A35D9" w:rsidRPr="00576E2F">
        <w:t>executi</w:t>
      </w:r>
      <w:r w:rsidR="009A35D9">
        <w:t>ng</w:t>
      </w:r>
      <w:r w:rsidR="009A35D9" w:rsidRPr="00576E2F">
        <w:t xml:space="preserve"> </w:t>
      </w:r>
      <w:r w:rsidRPr="00576E2F">
        <w:t xml:space="preserve">the decision on administrative removal a judge may order </w:t>
      </w:r>
      <w:r w:rsidR="00344D0F">
        <w:t>that</w:t>
      </w:r>
      <w:r w:rsidRPr="00576E2F">
        <w:t xml:space="preserve"> the foreign national or stateless person </w:t>
      </w:r>
      <w:r w:rsidR="00344D0F">
        <w:t xml:space="preserve">be placed </w:t>
      </w:r>
      <w:r w:rsidRPr="00576E2F">
        <w:t>in a special facility which they are not allowed to leave at will.</w:t>
      </w:r>
    </w:p>
    <w:bookmarkStart w:id="16" w:name="AdminCode319"/>
    <w:bookmarkEnd w:id="16"/>
    <w:p w:rsidR="00576E2F" w:rsidRPr="00576E2F" w:rsidRDefault="00576E2F" w:rsidP="00576E2F">
      <w:pPr>
        <w:pStyle w:val="ECHRPara"/>
      </w:pPr>
      <w:r>
        <w:fldChar w:fldCharType="begin"/>
      </w:r>
      <w:r>
        <w:instrText xml:space="preserve"> SEQ level0 \*arabic </w:instrText>
      </w:r>
      <w:r>
        <w:fldChar w:fldCharType="separate"/>
      </w:r>
      <w:r w:rsidR="00D21AD2">
        <w:rPr>
          <w:noProof/>
        </w:rPr>
        <w:t>63</w:t>
      </w:r>
      <w:r>
        <w:fldChar w:fldCharType="end"/>
      </w:r>
      <w:r>
        <w:t>.  </w:t>
      </w:r>
      <w:r w:rsidRPr="00576E2F">
        <w:t xml:space="preserve">Under Article 31.9 § 1, a decision imposing an administrative penalty ceases to be enforceable two years </w:t>
      </w:r>
      <w:r w:rsidR="00344D0F">
        <w:t>after</w:t>
      </w:r>
      <w:r w:rsidRPr="00576E2F">
        <w:t xml:space="preserve"> the decision became final.</w:t>
      </w:r>
    </w:p>
    <w:bookmarkStart w:id="17" w:name="AdminCode39"/>
    <w:bookmarkEnd w:id="17"/>
    <w:p w:rsidR="00576E2F" w:rsidRDefault="00576E2F" w:rsidP="00576E2F">
      <w:pPr>
        <w:pStyle w:val="ECHRPara"/>
      </w:pPr>
      <w:r>
        <w:fldChar w:fldCharType="begin"/>
      </w:r>
      <w:r>
        <w:instrText xml:space="preserve"> SEQ level0 \*arabic </w:instrText>
      </w:r>
      <w:r>
        <w:fldChar w:fldCharType="separate"/>
      </w:r>
      <w:r w:rsidR="00D21AD2">
        <w:rPr>
          <w:noProof/>
        </w:rPr>
        <w:t>64</w:t>
      </w:r>
      <w:r>
        <w:fldChar w:fldCharType="end"/>
      </w:r>
      <w:r>
        <w:t>.  </w:t>
      </w:r>
      <w:r w:rsidRPr="00576E2F">
        <w:t xml:space="preserve">Article 3.9 provides that an administrative offender can </w:t>
      </w:r>
      <w:r w:rsidR="00344D0F" w:rsidRPr="00576E2F">
        <w:t xml:space="preserve">only </w:t>
      </w:r>
      <w:r w:rsidRPr="00576E2F">
        <w:t>be punished with administrative detention in exceptional circumstances,</w:t>
      </w:r>
      <w:r w:rsidR="00D81DC9">
        <w:t xml:space="preserve"> </w:t>
      </w:r>
      <w:r w:rsidRPr="00576E2F">
        <w:t>for a maximum of thirty days.</w:t>
      </w:r>
    </w:p>
    <w:p w:rsidR="009E1BDD" w:rsidRDefault="00965E4D" w:rsidP="00552A2D">
      <w:pPr>
        <w:pStyle w:val="ECHRHeading2"/>
      </w:pPr>
      <w:r>
        <w:t>B.  </w:t>
      </w:r>
      <w:r w:rsidR="0022234B">
        <w:t>Ruling 6-</w:t>
      </w:r>
      <w:r w:rsidR="009652FD">
        <w:t>P</w:t>
      </w:r>
      <w:r w:rsidR="0022234B">
        <w:t xml:space="preserve"> of the Constitutional Court</w:t>
      </w:r>
    </w:p>
    <w:bookmarkStart w:id="18" w:name="constcourt17feb1998"/>
    <w:p w:rsidR="00576E2F" w:rsidRDefault="00576E2F" w:rsidP="00576E2F">
      <w:pPr>
        <w:pStyle w:val="ECHRPara"/>
      </w:pPr>
      <w:r>
        <w:fldChar w:fldCharType="begin"/>
      </w:r>
      <w:r>
        <w:instrText xml:space="preserve"> SEQ level0 \*arabic </w:instrText>
      </w:r>
      <w:r>
        <w:fldChar w:fldCharType="separate"/>
      </w:r>
      <w:r w:rsidR="00D21AD2">
        <w:rPr>
          <w:noProof/>
        </w:rPr>
        <w:t>65</w:t>
      </w:r>
      <w:r>
        <w:fldChar w:fldCharType="end"/>
      </w:r>
      <w:bookmarkEnd w:id="18"/>
      <w:r>
        <w:t>.  </w:t>
      </w:r>
      <w:r w:rsidRPr="00576E2F">
        <w:t>In decision no. 6-</w:t>
      </w:r>
      <w:r w:rsidR="00F60153">
        <w:t>P</w:t>
      </w:r>
      <w:r w:rsidRPr="00576E2F">
        <w:t xml:space="preserve"> of 17 February 1998</w:t>
      </w:r>
      <w:r w:rsidR="00344D0F">
        <w:t>,</w:t>
      </w:r>
      <w:r w:rsidRPr="00576E2F">
        <w:t xml:space="preserve"> the Constitutional Court stated, with reference to Article 22 of the Constitution concerning the right to liberty and personal integrity, that a person subject to administrative removal could be placed in detention without a court order for a term not exceeding forty-eight hours. Detention for over forty-eight hours was </w:t>
      </w:r>
      <w:r w:rsidR="00344D0F" w:rsidRPr="00576E2F">
        <w:t xml:space="preserve">only </w:t>
      </w:r>
      <w:r w:rsidRPr="00576E2F">
        <w:t>permitted on the basis of a court order</w:t>
      </w:r>
      <w:r w:rsidR="00344D0F">
        <w:t>,</w:t>
      </w:r>
      <w:r w:rsidRPr="00576E2F">
        <w:t xml:space="preserve"> provided that the administrative removal could not be effected otherwise. The court order was necessary to guarantee protection not only from arbitrary detention of over forty-eight hours, but also from arbitrary detention </w:t>
      </w:r>
      <w:r w:rsidR="00344D0F">
        <w:t>itself</w:t>
      </w:r>
      <w:r w:rsidRPr="00576E2F">
        <w:t xml:space="preserve">, while the court assessed the lawfulness of and reasons for </w:t>
      </w:r>
      <w:r w:rsidR="00407CA1">
        <w:t>placing</w:t>
      </w:r>
      <w:r w:rsidRPr="00576E2F">
        <w:t xml:space="preserve"> the person in custody. The Constitutional Court further noted that detention for an indefinite term would amount to an inadmissible restriction on the right to liberty as it would constitute punishment not provided for in Russian law and which was contrary to the Constitution.</w:t>
      </w:r>
    </w:p>
    <w:p w:rsidR="00552A2D" w:rsidRDefault="00943B86" w:rsidP="0022234B">
      <w:pPr>
        <w:pStyle w:val="ECHRHeading2"/>
      </w:pPr>
      <w:r>
        <w:t>C.  </w:t>
      </w:r>
      <w:r w:rsidR="00552A2D">
        <w:t>Legislation on refugee status and temporary asylum</w:t>
      </w:r>
    </w:p>
    <w:bookmarkStart w:id="19" w:name="LawRef"/>
    <w:p w:rsidR="00552A2D" w:rsidRDefault="00552A2D" w:rsidP="00552A2D">
      <w:pPr>
        <w:pStyle w:val="ECHRPara"/>
      </w:pPr>
      <w:r>
        <w:fldChar w:fldCharType="begin"/>
      </w:r>
      <w:r>
        <w:instrText xml:space="preserve"> SEQ level0 \*arabic </w:instrText>
      </w:r>
      <w:r>
        <w:fldChar w:fldCharType="separate"/>
      </w:r>
      <w:r w:rsidR="00D21AD2">
        <w:rPr>
          <w:noProof/>
        </w:rPr>
        <w:t>66</w:t>
      </w:r>
      <w:r>
        <w:fldChar w:fldCharType="end"/>
      </w:r>
      <w:bookmarkEnd w:id="19"/>
      <w:r>
        <w:t>.  </w:t>
      </w:r>
      <w:r w:rsidRPr="00E83AD8">
        <w:t xml:space="preserve">For a summary of the relevant general provisions of the Refugees Act of Russia (Law no. 4258-I of 19 February 1993), see </w:t>
      </w:r>
      <w:proofErr w:type="spellStart"/>
      <w:r w:rsidRPr="00E83AD8">
        <w:rPr>
          <w:i/>
        </w:rPr>
        <w:t>Kasymakhunov</w:t>
      </w:r>
      <w:proofErr w:type="spellEnd"/>
      <w:r w:rsidRPr="00E83AD8">
        <w:rPr>
          <w:i/>
        </w:rPr>
        <w:t xml:space="preserve"> v.</w:t>
      </w:r>
      <w:r w:rsidR="00965E4D" w:rsidRPr="00E83AD8">
        <w:rPr>
          <w:i/>
        </w:rPr>
        <w:t> </w:t>
      </w:r>
      <w:r w:rsidRPr="00E83AD8">
        <w:rPr>
          <w:i/>
        </w:rPr>
        <w:t>Russia</w:t>
      </w:r>
      <w:r w:rsidRPr="00E83AD8">
        <w:t xml:space="preserve"> </w:t>
      </w:r>
      <w:r w:rsidR="00407CA1" w:rsidRPr="00E83AD8">
        <w:t>(</w:t>
      </w:r>
      <w:r w:rsidRPr="00E83AD8">
        <w:t>no. 29604/12, §§ 83-86, 14 November 2013</w:t>
      </w:r>
      <w:r w:rsidR="00407CA1" w:rsidRPr="00E83AD8">
        <w:t>).</w:t>
      </w:r>
    </w:p>
    <w:bookmarkStart w:id="20" w:name="LawAsyl"/>
    <w:p w:rsidR="009E1BDD" w:rsidRDefault="00552A2D" w:rsidP="00552A2D">
      <w:pPr>
        <w:pStyle w:val="ECHRPara"/>
      </w:pPr>
      <w:r>
        <w:fldChar w:fldCharType="begin"/>
      </w:r>
      <w:r>
        <w:instrText xml:space="preserve"> SEQ level0 \*arabic </w:instrText>
      </w:r>
      <w:r>
        <w:fldChar w:fldCharType="separate"/>
      </w:r>
      <w:r w:rsidR="00D21AD2">
        <w:rPr>
          <w:noProof/>
        </w:rPr>
        <w:t>67</w:t>
      </w:r>
      <w:r>
        <w:fldChar w:fldCharType="end"/>
      </w:r>
      <w:bookmarkEnd w:id="20"/>
      <w:r>
        <w:t xml:space="preserve">.  For a summary of the relevant provisions on temporary asylum, see </w:t>
      </w:r>
      <w:proofErr w:type="spellStart"/>
      <w:r w:rsidRPr="00552A2D">
        <w:rPr>
          <w:i/>
        </w:rPr>
        <w:t>Tukhtamurodov</w:t>
      </w:r>
      <w:proofErr w:type="spellEnd"/>
      <w:r w:rsidRPr="00552A2D">
        <w:rPr>
          <w:i/>
        </w:rPr>
        <w:t xml:space="preserve"> v. Russia</w:t>
      </w:r>
      <w:r>
        <w:t xml:space="preserve"> </w:t>
      </w:r>
      <w:r w:rsidR="00407CA1">
        <w:t>(</w:t>
      </w:r>
      <w:r>
        <w:t>(</w:t>
      </w:r>
      <w:proofErr w:type="spellStart"/>
      <w:r>
        <w:t>dec.</w:t>
      </w:r>
      <w:proofErr w:type="spellEnd"/>
      <w:r>
        <w:t>), no. 21762/14, 20 January 2015, §§ 24-27</w:t>
      </w:r>
      <w:r w:rsidR="00407CA1">
        <w:t>)</w:t>
      </w:r>
      <w:r>
        <w:t>.</w:t>
      </w:r>
    </w:p>
    <w:p w:rsidR="0022234B" w:rsidRDefault="00552A2D" w:rsidP="0022234B">
      <w:pPr>
        <w:pStyle w:val="ECHRHeading2"/>
      </w:pPr>
      <w:r>
        <w:lastRenderedPageBreak/>
        <w:t>D. </w:t>
      </w:r>
      <w:r w:rsidR="00965E4D">
        <w:t> </w:t>
      </w:r>
      <w:r w:rsidR="0022234B">
        <w:t xml:space="preserve">Situation of Syrian nationals </w:t>
      </w:r>
      <w:r w:rsidR="002B4087">
        <w:t>in Russia</w:t>
      </w:r>
    </w:p>
    <w:p w:rsidR="009E1BDD" w:rsidRDefault="00193071" w:rsidP="00193071">
      <w:pPr>
        <w:pStyle w:val="ECHRHeading3"/>
      </w:pPr>
      <w:r>
        <w:t>1.  </w:t>
      </w:r>
      <w:r w:rsidR="00BD344F">
        <w:t>Situation of asylum seekers</w:t>
      </w:r>
    </w:p>
    <w:bookmarkStart w:id="21" w:name="BailiffCircular30Aug13"/>
    <w:p w:rsidR="009E1BDD" w:rsidRDefault="005A0C0F" w:rsidP="0022234B">
      <w:pPr>
        <w:pStyle w:val="ECHRPara"/>
      </w:pPr>
      <w:r>
        <w:fldChar w:fldCharType="begin"/>
      </w:r>
      <w:r>
        <w:instrText xml:space="preserve"> SEQ level0 \*arabic </w:instrText>
      </w:r>
      <w:r>
        <w:fldChar w:fldCharType="separate"/>
      </w:r>
      <w:r w:rsidR="00D21AD2">
        <w:rPr>
          <w:noProof/>
        </w:rPr>
        <w:t>68</w:t>
      </w:r>
      <w:r>
        <w:fldChar w:fldCharType="end"/>
      </w:r>
      <w:bookmarkEnd w:id="21"/>
      <w:r>
        <w:t xml:space="preserve">.  On 30 August 2013 </w:t>
      </w:r>
      <w:r w:rsidRPr="00DC77AA">
        <w:t xml:space="preserve">the Federal </w:t>
      </w:r>
      <w:r w:rsidR="00CE4174">
        <w:t>Bailiff</w:t>
      </w:r>
      <w:r w:rsidRPr="00DC77AA">
        <w:t xml:space="preserve"> Service</w:t>
      </w:r>
      <w:r>
        <w:t xml:space="preserve"> </w:t>
      </w:r>
      <w:r w:rsidRPr="00DC77AA">
        <w:t xml:space="preserve">issued </w:t>
      </w:r>
      <w:r w:rsidR="00407CA1">
        <w:t xml:space="preserve">a </w:t>
      </w:r>
      <w:r>
        <w:t>circular</w:t>
      </w:r>
      <w:r w:rsidRPr="00DC77AA">
        <w:t xml:space="preserve"> letter </w:t>
      </w:r>
      <w:r>
        <w:t>to its regional branches</w:t>
      </w:r>
      <w:r w:rsidRPr="00DC77AA">
        <w:t xml:space="preserve">, according to which no entry was possible </w:t>
      </w:r>
      <w:r w:rsidR="00407CA1">
        <w:t>in</w:t>
      </w:r>
      <w:r w:rsidRPr="00DC77AA">
        <w:t>to Syria</w:t>
      </w:r>
      <w:r w:rsidR="00407CA1">
        <w:t>n</w:t>
      </w:r>
      <w:r w:rsidRPr="00DC77AA">
        <w:t xml:space="preserve"> territory in view of</w:t>
      </w:r>
      <w:r w:rsidR="00407CA1">
        <w:t xml:space="preserve"> the</w:t>
      </w:r>
      <w:r w:rsidRPr="00DC77AA">
        <w:t xml:space="preserve"> hostilities</w:t>
      </w:r>
      <w:r w:rsidR="00407CA1">
        <w:t xml:space="preserve"> there</w:t>
      </w:r>
      <w:r>
        <w:t xml:space="preserve"> and th</w:t>
      </w:r>
      <w:r w:rsidR="00D81DC9">
        <w:t>erefore</w:t>
      </w:r>
      <w:r>
        <w:t xml:space="preserve"> instructed them to</w:t>
      </w:r>
      <w:r w:rsidR="00407CA1">
        <w:t xml:space="preserve"> </w:t>
      </w:r>
      <w:r>
        <w:t xml:space="preserve">report </w:t>
      </w:r>
      <w:r w:rsidR="00407CA1">
        <w:t xml:space="preserve">any </w:t>
      </w:r>
      <w:r>
        <w:t xml:space="preserve">problems arising with the execution of court judgments ordering expulsion to Syria to </w:t>
      </w:r>
      <w:r w:rsidR="00407CA1">
        <w:t xml:space="preserve">its </w:t>
      </w:r>
      <w:r>
        <w:t>head office.</w:t>
      </w:r>
    </w:p>
    <w:bookmarkStart w:id="22" w:name="FMSSyriaStats"/>
    <w:p w:rsidR="009E1BDD" w:rsidRDefault="0022234B" w:rsidP="00C30798">
      <w:pPr>
        <w:pStyle w:val="ECHRPara"/>
      </w:pPr>
      <w:r>
        <w:fldChar w:fldCharType="begin"/>
      </w:r>
      <w:r>
        <w:instrText xml:space="preserve"> SEQ level0 \*arabic </w:instrText>
      </w:r>
      <w:r>
        <w:fldChar w:fldCharType="separate"/>
      </w:r>
      <w:r w:rsidR="00D21AD2">
        <w:rPr>
          <w:noProof/>
        </w:rPr>
        <w:t>69</w:t>
      </w:r>
      <w:r>
        <w:fldChar w:fldCharType="end"/>
      </w:r>
      <w:bookmarkEnd w:id="22"/>
      <w:r>
        <w:t xml:space="preserve">.  The FMS produced statistics about the number of Syrian citizens claiming refugee status and territorial asylum in Russia </w:t>
      </w:r>
      <w:r w:rsidR="002567FA">
        <w:t>between 1 January 2011 and</w:t>
      </w:r>
      <w:r>
        <w:t xml:space="preserve"> 1 November 2014. According to these figures, a total of 1</w:t>
      </w:r>
      <w:r w:rsidR="00D81DC9">
        <w:t>,</w:t>
      </w:r>
      <w:r>
        <w:t>714</w:t>
      </w:r>
      <w:r w:rsidR="00965E4D">
        <w:t> </w:t>
      </w:r>
      <w:r w:rsidR="00407CA1">
        <w:t xml:space="preserve">people </w:t>
      </w:r>
      <w:r w:rsidR="002567FA">
        <w:t xml:space="preserve">from Syria had </w:t>
      </w:r>
      <w:r>
        <w:t xml:space="preserve">claimed refugee status in Russia; none </w:t>
      </w:r>
      <w:r w:rsidR="00D81DC9">
        <w:t>had been</w:t>
      </w:r>
      <w:r w:rsidR="00407CA1">
        <w:t xml:space="preserve"> </w:t>
      </w:r>
      <w:r>
        <w:t>granted</w:t>
      </w:r>
      <w:r w:rsidR="00D81DC9">
        <w:t xml:space="preserve"> it</w:t>
      </w:r>
      <w:r>
        <w:t>. Over the same period, 3</w:t>
      </w:r>
      <w:r w:rsidR="00D81DC9">
        <w:t>,</w:t>
      </w:r>
      <w:r>
        <w:t xml:space="preserve">165 </w:t>
      </w:r>
      <w:r w:rsidR="002567FA">
        <w:t xml:space="preserve">such </w:t>
      </w:r>
      <w:r w:rsidR="00407CA1">
        <w:t xml:space="preserve">people </w:t>
      </w:r>
      <w:r w:rsidR="002567FA">
        <w:t xml:space="preserve">had </w:t>
      </w:r>
      <w:r>
        <w:t>sought temporary asylum and 2</w:t>
      </w:r>
      <w:r w:rsidR="00D81DC9">
        <w:t>,</w:t>
      </w:r>
      <w:r>
        <w:t>523 ha</w:t>
      </w:r>
      <w:r w:rsidR="002567FA">
        <w:t>d</w:t>
      </w:r>
      <w:r>
        <w:t xml:space="preserve"> been granted</w:t>
      </w:r>
      <w:r w:rsidR="00D81DC9">
        <w:t xml:space="preserve"> it</w:t>
      </w:r>
      <w:r>
        <w:t>.</w:t>
      </w:r>
    </w:p>
    <w:bookmarkStart w:id="23" w:name="CivicAssistSyriaStats"/>
    <w:p w:rsidR="009E1BDD" w:rsidRDefault="002B4087" w:rsidP="0022234B">
      <w:pPr>
        <w:pStyle w:val="ECHRPara"/>
      </w:pPr>
      <w:r>
        <w:fldChar w:fldCharType="begin"/>
      </w:r>
      <w:r>
        <w:instrText xml:space="preserve"> SEQ level0 \*arabic </w:instrText>
      </w:r>
      <w:r>
        <w:fldChar w:fldCharType="separate"/>
      </w:r>
      <w:r w:rsidR="00D21AD2">
        <w:rPr>
          <w:noProof/>
        </w:rPr>
        <w:t>70</w:t>
      </w:r>
      <w:r>
        <w:fldChar w:fldCharType="end"/>
      </w:r>
      <w:bookmarkEnd w:id="23"/>
      <w:r>
        <w:t>.  On 28 October 2014</w:t>
      </w:r>
      <w:r w:rsidR="00D81DC9">
        <w:t xml:space="preserve"> the</w:t>
      </w:r>
      <w:r>
        <w:t xml:space="preserve"> human rights NGO Civic Assistance issued an information paper about the situation of Syrian refugees in Russia</w:t>
      </w:r>
      <w:r w:rsidR="00407CA1">
        <w:t xml:space="preserve">, which stated that </w:t>
      </w:r>
      <w:r w:rsidR="001242A2">
        <w:t>the FMS</w:t>
      </w:r>
      <w:r w:rsidR="00407CA1">
        <w:t xml:space="preserve"> had</w:t>
      </w:r>
      <w:r w:rsidR="001242A2">
        <w:t xml:space="preserve"> started to grant temporary asylum to Syrian nationals in 2013. By </w:t>
      </w:r>
      <w:r w:rsidR="003860E5">
        <w:t>1 September</w:t>
      </w:r>
      <w:r w:rsidR="001242A2">
        <w:t xml:space="preserve"> 2014, about 2</w:t>
      </w:r>
      <w:r w:rsidR="00D81DC9">
        <w:t>,</w:t>
      </w:r>
      <w:r w:rsidR="001242A2">
        <w:t xml:space="preserve">200 </w:t>
      </w:r>
      <w:r w:rsidR="00407CA1">
        <w:t xml:space="preserve">people </w:t>
      </w:r>
      <w:r w:rsidR="001242A2">
        <w:t>ha</w:t>
      </w:r>
      <w:r w:rsidR="002567FA">
        <w:t>d</w:t>
      </w:r>
      <w:r w:rsidR="001242A2">
        <w:t xml:space="preserve"> been granted </w:t>
      </w:r>
      <w:r w:rsidR="003860E5">
        <w:t>temporary asylum. Civic Assistance</w:t>
      </w:r>
      <w:r w:rsidR="00407CA1">
        <w:t xml:space="preserve"> estimated that </w:t>
      </w:r>
      <w:r w:rsidR="003860E5">
        <w:t xml:space="preserve">this represented about </w:t>
      </w:r>
      <w:r w:rsidR="00407CA1">
        <w:t xml:space="preserve">a </w:t>
      </w:r>
      <w:r w:rsidR="003860E5">
        <w:t xml:space="preserve">tenth of the number of Syrians who had arrived </w:t>
      </w:r>
      <w:r w:rsidR="00407CA1">
        <w:t xml:space="preserve">in </w:t>
      </w:r>
      <w:r w:rsidR="003860E5">
        <w:t xml:space="preserve">Russia fleeing the conflict. The report listed the reasons why many others had been unable to obtain </w:t>
      </w:r>
      <w:r w:rsidR="00407CA1">
        <w:t xml:space="preserve">this </w:t>
      </w:r>
      <w:r w:rsidR="003860E5">
        <w:t xml:space="preserve">status, including practical problems </w:t>
      </w:r>
      <w:r w:rsidR="00407CA1">
        <w:t xml:space="preserve">such as </w:t>
      </w:r>
      <w:r w:rsidR="003860E5">
        <w:t>access</w:t>
      </w:r>
      <w:r w:rsidR="00407CA1">
        <w:t>,</w:t>
      </w:r>
      <w:r w:rsidR="003860E5">
        <w:t xml:space="preserve"> </w:t>
      </w:r>
      <w:r w:rsidR="00F5494D">
        <w:t xml:space="preserve">a </w:t>
      </w:r>
      <w:r w:rsidR="003860E5">
        <w:t>lack of information and interpret</w:t>
      </w:r>
      <w:r w:rsidR="00F5494D">
        <w:t>ing services</w:t>
      </w:r>
      <w:r w:rsidR="003860E5">
        <w:t xml:space="preserve">, </w:t>
      </w:r>
      <w:r w:rsidR="00407CA1">
        <w:t xml:space="preserve">the </w:t>
      </w:r>
      <w:r w:rsidR="003860E5">
        <w:t xml:space="preserve">policy of some regions to refuse asylum claims altogether </w:t>
      </w:r>
      <w:r w:rsidR="00407CA1">
        <w:t>and so forth</w:t>
      </w:r>
      <w:r w:rsidR="003860E5">
        <w:t xml:space="preserve">. The report stated that the FMS, while granting asylum status to many Syrian nationals, at the same time continued to treat others as ordinary </w:t>
      </w:r>
      <w:r w:rsidR="002567FA">
        <w:t xml:space="preserve">administrative </w:t>
      </w:r>
      <w:r w:rsidR="003860E5">
        <w:t xml:space="preserve">offenders and supported their expulsion to Syria, even though it was </w:t>
      </w:r>
      <w:r w:rsidR="002567FA">
        <w:t>im</w:t>
      </w:r>
      <w:r w:rsidR="003860E5">
        <w:t>possible</w:t>
      </w:r>
      <w:r w:rsidR="002567FA">
        <w:t xml:space="preserve"> to carry out</w:t>
      </w:r>
      <w:r w:rsidR="003860E5">
        <w:t>. In 2014 the FMS</w:t>
      </w:r>
      <w:r w:rsidR="00BA3D89">
        <w:t>’</w:t>
      </w:r>
      <w:r w:rsidR="00407CA1">
        <w:t>s</w:t>
      </w:r>
      <w:r w:rsidR="003860E5">
        <w:t xml:space="preserve"> position towards Syrian asylum seekers hardened. Numerous decisions </w:t>
      </w:r>
      <w:r w:rsidR="002567FA">
        <w:t>from</w:t>
      </w:r>
      <w:r w:rsidR="003860E5">
        <w:t xml:space="preserve"> various regions </w:t>
      </w:r>
      <w:r w:rsidR="002567FA">
        <w:t>had been brought to the attention of</w:t>
      </w:r>
      <w:r w:rsidR="003860E5">
        <w:t xml:space="preserve"> Civic Assistance</w:t>
      </w:r>
      <w:r w:rsidR="002567FA">
        <w:t>. They showed</w:t>
      </w:r>
      <w:r w:rsidR="003860E5">
        <w:t xml:space="preserve"> that the </w:t>
      </w:r>
      <w:r w:rsidR="002567FA">
        <w:t>decisions to reject had systematically</w:t>
      </w:r>
      <w:r w:rsidR="003860E5">
        <w:t xml:space="preserve"> referred to </w:t>
      </w:r>
      <w:r w:rsidR="002567FA">
        <w:t xml:space="preserve">the absence of </w:t>
      </w:r>
      <w:r w:rsidR="003860E5">
        <w:t xml:space="preserve">individual reasons </w:t>
      </w:r>
      <w:r w:rsidR="002567FA">
        <w:t>for</w:t>
      </w:r>
      <w:r w:rsidR="003860E5">
        <w:t xml:space="preserve"> asylum.</w:t>
      </w:r>
    </w:p>
    <w:p w:rsidR="00BD344F" w:rsidRDefault="00965E4D" w:rsidP="00BD344F">
      <w:pPr>
        <w:pStyle w:val="ECHRHeading3"/>
      </w:pPr>
      <w:r>
        <w:t>2.  </w:t>
      </w:r>
      <w:r w:rsidR="00B55DEE">
        <w:t>Russian c</w:t>
      </w:r>
      <w:r w:rsidR="00BD344F">
        <w:t>ourts</w:t>
      </w:r>
      <w:r w:rsidR="00BA3D89">
        <w:t>’</w:t>
      </w:r>
      <w:r w:rsidR="00BD344F">
        <w:t xml:space="preserve"> decisions in individual cases</w:t>
      </w:r>
    </w:p>
    <w:bookmarkStart w:id="24" w:name="ExampleCt1"/>
    <w:p w:rsidR="00BD344F" w:rsidRDefault="00BD344F" w:rsidP="0022234B">
      <w:pPr>
        <w:pStyle w:val="ECHRPara"/>
      </w:pPr>
      <w:r>
        <w:fldChar w:fldCharType="begin"/>
      </w:r>
      <w:r>
        <w:instrText xml:space="preserve"> SEQ level0 \*arabic </w:instrText>
      </w:r>
      <w:r>
        <w:fldChar w:fldCharType="separate"/>
      </w:r>
      <w:r w:rsidR="00D21AD2">
        <w:rPr>
          <w:noProof/>
        </w:rPr>
        <w:t>71</w:t>
      </w:r>
      <w:r>
        <w:fldChar w:fldCharType="end"/>
      </w:r>
      <w:bookmarkEnd w:id="24"/>
      <w:r>
        <w:t>.  On 13 December 2</w:t>
      </w:r>
      <w:r w:rsidR="009902C7">
        <w:t>0</w:t>
      </w:r>
      <w:r>
        <w:t xml:space="preserve">13 a judge of the Supreme Court, acting in supervisory review procedure, altered the </w:t>
      </w:r>
      <w:r w:rsidR="009902C7">
        <w:t>decisions</w:t>
      </w:r>
      <w:r>
        <w:t xml:space="preserve"> of the </w:t>
      </w:r>
      <w:proofErr w:type="spellStart"/>
      <w:r w:rsidR="009902C7">
        <w:t>Pyatigorsk</w:t>
      </w:r>
      <w:proofErr w:type="spellEnd"/>
      <w:r w:rsidR="009902C7">
        <w:t xml:space="preserve"> T</w:t>
      </w:r>
      <w:r>
        <w:t xml:space="preserve">own Court and </w:t>
      </w:r>
      <w:r w:rsidR="009902C7">
        <w:t xml:space="preserve">the Stavropol Regional Court which had ordered fine and administrative removal of M.A.R. (the decision </w:t>
      </w:r>
      <w:r w:rsidR="00350024">
        <w:t xml:space="preserve">had </w:t>
      </w:r>
      <w:r w:rsidR="009902C7">
        <w:t>entered into force on 29</w:t>
      </w:r>
      <w:r w:rsidR="00965E4D">
        <w:t> </w:t>
      </w:r>
      <w:r w:rsidR="009902C7">
        <w:t>May 2013). The judge of the Supreme Court referred to the international instruments prohibiting torture and ill-treatment and gave due weight to the claimant</w:t>
      </w:r>
      <w:r w:rsidR="00BA3D89">
        <w:t>’</w:t>
      </w:r>
      <w:r w:rsidR="009902C7">
        <w:t xml:space="preserve">s arguments that he could not return in view of the hostilities. The judge further noted the circular letter of 30 August 2013 of the Federal Bailiff Service and a letter of the Stavropol regional ombudsman about the civil war and dire humanitarian situation in Syria. On the strength of the </w:t>
      </w:r>
      <w:r w:rsidR="009902C7">
        <w:lastRenderedPageBreak/>
        <w:t>above, he altered the decisions of the lower courts and excluded the penalty of expulsion. The decision also ordered M.A.R.</w:t>
      </w:r>
      <w:r w:rsidR="00BA3D89">
        <w:t>’</w:t>
      </w:r>
      <w:r w:rsidR="009902C7">
        <w:t>s release from the police detention centre.</w:t>
      </w:r>
    </w:p>
    <w:bookmarkStart w:id="25" w:name="ExampleCt12"/>
    <w:p w:rsidR="009E1BDD" w:rsidRDefault="00690792" w:rsidP="0022234B">
      <w:pPr>
        <w:pStyle w:val="ECHRPara"/>
      </w:pPr>
      <w:r>
        <w:fldChar w:fldCharType="begin"/>
      </w:r>
      <w:r>
        <w:instrText xml:space="preserve"> SEQ level0 \*arabic </w:instrText>
      </w:r>
      <w:r>
        <w:fldChar w:fldCharType="separate"/>
      </w:r>
      <w:r w:rsidR="00D21AD2">
        <w:rPr>
          <w:noProof/>
        </w:rPr>
        <w:t>72</w:t>
      </w:r>
      <w:r>
        <w:fldChar w:fldCharType="end"/>
      </w:r>
      <w:bookmarkEnd w:id="25"/>
      <w:r>
        <w:t>.  On 13 February 2014 the Leningrad Regional Court issued a decision in the case of a Syrian national</w:t>
      </w:r>
      <w:r w:rsidR="00407CA1">
        <w:t>,</w:t>
      </w:r>
      <w:r w:rsidR="009902C7">
        <w:t xml:space="preserve"> </w:t>
      </w:r>
      <w:r w:rsidR="00F43E21">
        <w:t xml:space="preserve">Mr </w:t>
      </w:r>
      <w:proofErr w:type="spellStart"/>
      <w:r w:rsidR="009902C7">
        <w:t>Akhmad</w:t>
      </w:r>
      <w:proofErr w:type="spellEnd"/>
      <w:r w:rsidR="009902C7">
        <w:t xml:space="preserve"> A.</w:t>
      </w:r>
      <w:r>
        <w:t xml:space="preserve"> </w:t>
      </w:r>
      <w:r w:rsidR="009902C7">
        <w:t>O</w:t>
      </w:r>
      <w:r>
        <w:t xml:space="preserve">n 24 January 2014 </w:t>
      </w:r>
      <w:r w:rsidR="009902C7">
        <w:t xml:space="preserve">a district court </w:t>
      </w:r>
      <w:r>
        <w:t xml:space="preserve">had found </w:t>
      </w:r>
      <w:r w:rsidR="009902C7">
        <w:t xml:space="preserve">him </w:t>
      </w:r>
      <w:r>
        <w:t xml:space="preserve">guilty of </w:t>
      </w:r>
      <w:r w:rsidR="00407CA1">
        <w:t xml:space="preserve">an </w:t>
      </w:r>
      <w:r>
        <w:t xml:space="preserve">administrative offence under Article 18.8 of the </w:t>
      </w:r>
      <w:r w:rsidRPr="00576E2F">
        <w:t>Code of Administrative Offences</w:t>
      </w:r>
      <w:r w:rsidR="009902C7">
        <w:t xml:space="preserve">, </w:t>
      </w:r>
      <w:r>
        <w:t>fine</w:t>
      </w:r>
      <w:r w:rsidR="008A509C">
        <w:t>d him</w:t>
      </w:r>
      <w:r>
        <w:t xml:space="preserve"> and </w:t>
      </w:r>
      <w:r w:rsidR="008A509C">
        <w:t xml:space="preserve">ordered his </w:t>
      </w:r>
      <w:r>
        <w:t>administrative removal</w:t>
      </w:r>
      <w:r w:rsidR="009902C7">
        <w:t xml:space="preserve">. The Regional Court </w:t>
      </w:r>
      <w:r w:rsidR="008A509C">
        <w:t>not</w:t>
      </w:r>
      <w:r w:rsidR="009902C7">
        <w:t>ed</w:t>
      </w:r>
      <w:r w:rsidR="008A509C">
        <w:t xml:space="preserve"> </w:t>
      </w:r>
      <w:r>
        <w:t xml:space="preserve">that </w:t>
      </w:r>
      <w:r w:rsidR="00F43E21">
        <w:t>Mr </w:t>
      </w:r>
      <w:proofErr w:type="spellStart"/>
      <w:r w:rsidR="009902C7">
        <w:t>Akhmad</w:t>
      </w:r>
      <w:proofErr w:type="spellEnd"/>
      <w:r w:rsidR="009902C7">
        <w:t xml:space="preserve"> A.</w:t>
      </w:r>
      <w:r>
        <w:t xml:space="preserve"> had applied for temporary asylum in Russia</w:t>
      </w:r>
      <w:r w:rsidR="008A509C">
        <w:t>,</w:t>
      </w:r>
      <w:r w:rsidR="00F43E21">
        <w:t xml:space="preserve"> and that on 30 </w:t>
      </w:r>
      <w:r>
        <w:t xml:space="preserve">August 2013 the Federal Bailiff </w:t>
      </w:r>
      <w:r w:rsidR="002A7832">
        <w:t>Service</w:t>
      </w:r>
      <w:r>
        <w:t xml:space="preserve"> </w:t>
      </w:r>
      <w:r w:rsidR="008A509C">
        <w:t xml:space="preserve">had </w:t>
      </w:r>
      <w:r w:rsidR="002567FA">
        <w:t xml:space="preserve">confirmed </w:t>
      </w:r>
      <w:r>
        <w:t>th</w:t>
      </w:r>
      <w:r w:rsidR="008A509C">
        <w:t>at it was</w:t>
      </w:r>
      <w:r>
        <w:t xml:space="preserve"> </w:t>
      </w:r>
      <w:r w:rsidR="008A509C">
        <w:t xml:space="preserve">impossible </w:t>
      </w:r>
      <w:r>
        <w:t xml:space="preserve">to travel to Syria. </w:t>
      </w:r>
      <w:r w:rsidR="009902C7">
        <w:t>It</w:t>
      </w:r>
      <w:r>
        <w:t xml:space="preserve"> thus excluded the additional penalty of administrative removal and ordered </w:t>
      </w:r>
      <w:r w:rsidR="008A509C">
        <w:t>the defendant</w:t>
      </w:r>
      <w:r w:rsidR="00BA3D89">
        <w:t>’</w:t>
      </w:r>
      <w:r>
        <w:t xml:space="preserve">s release from the </w:t>
      </w:r>
      <w:r w:rsidR="0081159E">
        <w:t>FMS detention centre</w:t>
      </w:r>
      <w:r>
        <w:t>.</w:t>
      </w:r>
    </w:p>
    <w:bookmarkStart w:id="26" w:name="ExampleCt3"/>
    <w:p w:rsidR="009E1BDD" w:rsidRDefault="00B55DEE" w:rsidP="0022234B">
      <w:pPr>
        <w:pStyle w:val="ECHRPara"/>
      </w:pPr>
      <w:r>
        <w:fldChar w:fldCharType="begin"/>
      </w:r>
      <w:r>
        <w:instrText xml:space="preserve"> SEQ level0 \*arabic </w:instrText>
      </w:r>
      <w:r>
        <w:fldChar w:fldCharType="separate"/>
      </w:r>
      <w:r w:rsidR="00D21AD2">
        <w:rPr>
          <w:noProof/>
        </w:rPr>
        <w:t>73</w:t>
      </w:r>
      <w:r>
        <w:fldChar w:fldCharType="end"/>
      </w:r>
      <w:bookmarkEnd w:id="26"/>
      <w:r>
        <w:t xml:space="preserve">.  In another decision of unclear date in 2014, the Moscow Regional Court altered </w:t>
      </w:r>
      <w:r w:rsidR="0081159E">
        <w:t xml:space="preserve">the </w:t>
      </w:r>
      <w:r>
        <w:t xml:space="preserve">decision of the </w:t>
      </w:r>
      <w:proofErr w:type="spellStart"/>
      <w:r>
        <w:t>Balashikha</w:t>
      </w:r>
      <w:proofErr w:type="spellEnd"/>
      <w:r>
        <w:t xml:space="preserve"> District Court </w:t>
      </w:r>
      <w:r w:rsidR="00ED27F6">
        <w:t xml:space="preserve">which had found Syrian national “AM” guilty of breach of Article 18.8 of the </w:t>
      </w:r>
      <w:r w:rsidR="00ED27F6" w:rsidRPr="00576E2F">
        <w:t>Code of Administrative Offences</w:t>
      </w:r>
      <w:r w:rsidR="00ED27F6">
        <w:t xml:space="preserve">. The district court </w:t>
      </w:r>
      <w:r w:rsidR="00350024">
        <w:t xml:space="preserve">had </w:t>
      </w:r>
      <w:r w:rsidR="00ED27F6">
        <w:t xml:space="preserve">imposed a fine and ordered “AM” to leave; he had not been placed in detention. The Regional Court referred to the international documents on human rights which prohibit return in cases of danger to life and limb. It </w:t>
      </w:r>
      <w:r w:rsidR="00350024">
        <w:t>took note</w:t>
      </w:r>
      <w:r w:rsidR="00ED27F6">
        <w:t xml:space="preserve"> o</w:t>
      </w:r>
      <w:r w:rsidR="00350024">
        <w:t>f</w:t>
      </w:r>
      <w:r w:rsidR="00ED27F6">
        <w:t xml:space="preserve"> the UNCHR recommendation of October 2013 to refrain from involuntary returns and noted the claimant</w:t>
      </w:r>
      <w:r w:rsidR="00BA3D89">
        <w:t>’</w:t>
      </w:r>
      <w:r w:rsidR="00ED27F6">
        <w:t>s intention to launch a request for asylum in Russia. In such circumstances, it quashed the order to leave.</w:t>
      </w:r>
    </w:p>
    <w:p w:rsidR="00A66294" w:rsidRDefault="008B4B9E" w:rsidP="00A66294">
      <w:pPr>
        <w:pStyle w:val="ECHRHeading2"/>
      </w:pPr>
      <w:r>
        <w:t>E</w:t>
      </w:r>
      <w:r w:rsidR="00965E4D">
        <w:t>.  </w:t>
      </w:r>
      <w:r w:rsidR="00A66294">
        <w:t>Conditions of detention</w:t>
      </w:r>
    </w:p>
    <w:bookmarkStart w:id="27" w:name="DecreeRules1"/>
    <w:p w:rsidR="009E1BDD" w:rsidRDefault="00A66294" w:rsidP="00A66294">
      <w:pPr>
        <w:pStyle w:val="ECHRPara"/>
      </w:pPr>
      <w:r>
        <w:fldChar w:fldCharType="begin"/>
      </w:r>
      <w:r>
        <w:instrText xml:space="preserve"> SEQ level0 \*arabic </w:instrText>
      </w:r>
      <w:r>
        <w:fldChar w:fldCharType="separate"/>
      </w:r>
      <w:r w:rsidR="00D21AD2">
        <w:rPr>
          <w:noProof/>
        </w:rPr>
        <w:t>74</w:t>
      </w:r>
      <w:r>
        <w:fldChar w:fldCharType="end"/>
      </w:r>
      <w:bookmarkEnd w:id="27"/>
      <w:r>
        <w:t xml:space="preserve">.  On 30 December 2013 the Russian Government adopted Decree No. 1306 containing </w:t>
      </w:r>
      <w:r w:rsidR="008A509C">
        <w:t>r</w:t>
      </w:r>
      <w:r>
        <w:t xml:space="preserve">ules on </w:t>
      </w:r>
      <w:r w:rsidR="008A509C">
        <w:t xml:space="preserve">the </w:t>
      </w:r>
      <w:r w:rsidR="00A63D03">
        <w:t>confinement</w:t>
      </w:r>
      <w:r>
        <w:t xml:space="preserve"> of foreign nationals pending their expulsion/deportation pursuan</w:t>
      </w:r>
      <w:r w:rsidR="00A63D03">
        <w:t xml:space="preserve">t to an administrative decision. The </w:t>
      </w:r>
      <w:r w:rsidR="00D81DC9">
        <w:t>r</w:t>
      </w:r>
      <w:r w:rsidR="00A63D03">
        <w:t>ules entered into force on 1 January 2014.</w:t>
      </w:r>
    </w:p>
    <w:bookmarkStart w:id="28" w:name="DecreeRules2"/>
    <w:p w:rsidR="009E1BDD" w:rsidRDefault="00A63D03" w:rsidP="00A66294">
      <w:pPr>
        <w:pStyle w:val="ECHRPara"/>
      </w:pPr>
      <w:r>
        <w:fldChar w:fldCharType="begin"/>
      </w:r>
      <w:r>
        <w:instrText xml:space="preserve"> SEQ level0 \*arabic </w:instrText>
      </w:r>
      <w:r>
        <w:fldChar w:fldCharType="separate"/>
      </w:r>
      <w:r w:rsidR="00D21AD2">
        <w:rPr>
          <w:noProof/>
        </w:rPr>
        <w:t>75</w:t>
      </w:r>
      <w:r>
        <w:fldChar w:fldCharType="end"/>
      </w:r>
      <w:bookmarkEnd w:id="28"/>
      <w:r>
        <w:t xml:space="preserve">.  According to the </w:t>
      </w:r>
      <w:r w:rsidR="008A509C">
        <w:t>r</w:t>
      </w:r>
      <w:r>
        <w:t xml:space="preserve">ules, </w:t>
      </w:r>
      <w:r w:rsidR="00407CA1">
        <w:t>people</w:t>
      </w:r>
      <w:r>
        <w:t xml:space="preserve"> confined to centres created and run by the Federal Migration Service have no right to leave. </w:t>
      </w:r>
      <w:r w:rsidR="0003145D">
        <w:t>T</w:t>
      </w:r>
      <w:r>
        <w:t xml:space="preserve">he </w:t>
      </w:r>
      <w:r w:rsidR="008A509C">
        <w:t>r</w:t>
      </w:r>
      <w:r>
        <w:t xml:space="preserve">ules establish a minimum of six square metres per person as </w:t>
      </w:r>
      <w:r w:rsidR="008A509C">
        <w:t xml:space="preserve">a </w:t>
      </w:r>
      <w:r w:rsidR="008A509C">
        <w:rPr>
          <w:color w:val="000000"/>
        </w:rPr>
        <w:t>health and safety regulation</w:t>
      </w:r>
      <w:r>
        <w:t xml:space="preserve">, or four and half metres in </w:t>
      </w:r>
      <w:r w:rsidR="007B05A7">
        <w:t xml:space="preserve">rooms </w:t>
      </w:r>
      <w:r w:rsidR="002A7832">
        <w:t>containing bunk</w:t>
      </w:r>
      <w:r w:rsidR="008A509C">
        <w:t xml:space="preserve"> </w:t>
      </w:r>
      <w:r>
        <w:t xml:space="preserve">beds. The centres should have medical staff </w:t>
      </w:r>
      <w:r w:rsidR="008A509C">
        <w:t xml:space="preserve">available to </w:t>
      </w:r>
      <w:r>
        <w:t xml:space="preserve">examine </w:t>
      </w:r>
      <w:r w:rsidR="00407CA1">
        <w:t>people</w:t>
      </w:r>
      <w:r>
        <w:t xml:space="preserve"> upon arrival and before they are discharged</w:t>
      </w:r>
      <w:r w:rsidR="008A509C">
        <w:t xml:space="preserve">, </w:t>
      </w:r>
      <w:r>
        <w:t xml:space="preserve">and </w:t>
      </w:r>
      <w:r w:rsidR="002567FA">
        <w:t>provide</w:t>
      </w:r>
      <w:r>
        <w:t xml:space="preserve"> them</w:t>
      </w:r>
      <w:r w:rsidR="002567FA">
        <w:t xml:space="preserve"> with</w:t>
      </w:r>
      <w:r>
        <w:t xml:space="preserve"> medical </w:t>
      </w:r>
      <w:r w:rsidR="008A509C">
        <w:t xml:space="preserve">treatment </w:t>
      </w:r>
      <w:r w:rsidR="002567FA">
        <w:t>if</w:t>
      </w:r>
      <w:r>
        <w:t xml:space="preserve"> nece</w:t>
      </w:r>
      <w:r w:rsidR="002567FA">
        <w:t xml:space="preserve">ssary. The </w:t>
      </w:r>
      <w:r w:rsidR="008A509C">
        <w:t>r</w:t>
      </w:r>
      <w:r w:rsidR="002567FA">
        <w:t>ules further detail</w:t>
      </w:r>
      <w:r>
        <w:t xml:space="preserve"> the rights and obligations of </w:t>
      </w:r>
      <w:r w:rsidR="00407CA1">
        <w:t>people</w:t>
      </w:r>
      <w:r>
        <w:t xml:space="preserve"> in confinement, food rations and hygiene products distributed to inmates.</w:t>
      </w:r>
    </w:p>
    <w:p w:rsidR="00C55CE6" w:rsidRDefault="00965E4D" w:rsidP="00C55CE6">
      <w:pPr>
        <w:pStyle w:val="ECHRHeading1"/>
      </w:pPr>
      <w:r>
        <w:t>III.</w:t>
      </w:r>
      <w:proofErr w:type="gramStart"/>
      <w:r>
        <w:t>  </w:t>
      </w:r>
      <w:r w:rsidR="00C55CE6">
        <w:t>RELEVANT</w:t>
      </w:r>
      <w:proofErr w:type="gramEnd"/>
      <w:r w:rsidR="00C55CE6">
        <w:t xml:space="preserve"> INFORMATION ABOUT THE SITUATION IN SYRIA</w:t>
      </w:r>
      <w:r w:rsidR="005D0F59">
        <w:t xml:space="preserve"> AND THE SITUATION OF REFUGEES</w:t>
      </w:r>
    </w:p>
    <w:bookmarkStart w:id="29" w:name="COO1HRC13Aug14"/>
    <w:p w:rsidR="00627A40" w:rsidRPr="00627A40" w:rsidRDefault="005A548E" w:rsidP="00680978">
      <w:pPr>
        <w:pStyle w:val="ECHRPara"/>
      </w:pPr>
      <w:r>
        <w:fldChar w:fldCharType="begin"/>
      </w:r>
      <w:r>
        <w:instrText xml:space="preserve"> SEQ level0 \*arabic </w:instrText>
      </w:r>
      <w:r>
        <w:fldChar w:fldCharType="separate"/>
      </w:r>
      <w:r w:rsidR="00D21AD2">
        <w:rPr>
          <w:noProof/>
        </w:rPr>
        <w:t>76</w:t>
      </w:r>
      <w:r>
        <w:fldChar w:fldCharType="end"/>
      </w:r>
      <w:bookmarkEnd w:id="29"/>
      <w:r>
        <w:t>.  </w:t>
      </w:r>
      <w:r w:rsidR="003F6F86">
        <w:t xml:space="preserve">The </w:t>
      </w:r>
      <w:r>
        <w:t>8</w:t>
      </w:r>
      <w:r w:rsidR="00627A40" w:rsidRPr="00627A40">
        <w:t>th report of the independent international commission of inquiry on the Syria Arab Republic</w:t>
      </w:r>
      <w:r w:rsidR="003F6F86">
        <w:t>,</w:t>
      </w:r>
      <w:r w:rsidR="00627A40" w:rsidRPr="00627A40">
        <w:t xml:space="preserve"> </w:t>
      </w:r>
      <w:r w:rsidR="003F6F86" w:rsidRPr="003F6F86">
        <w:t xml:space="preserve">established on 22 August 2011 by the </w:t>
      </w:r>
      <w:r w:rsidR="003F6F86">
        <w:lastRenderedPageBreak/>
        <w:t xml:space="preserve">UN </w:t>
      </w:r>
      <w:r w:rsidR="003F6F86" w:rsidRPr="003F6F86">
        <w:t xml:space="preserve">Human Rights Council through </w:t>
      </w:r>
      <w:r w:rsidR="00D81DC9">
        <w:t>R</w:t>
      </w:r>
      <w:r w:rsidR="003F6F86" w:rsidRPr="003F6F86">
        <w:t>esolution S-17/1</w:t>
      </w:r>
      <w:r w:rsidR="003F6F86">
        <w:rPr>
          <w:rFonts w:ascii="Verdana" w:hAnsi="Verdana" w:cs="Arial"/>
          <w:color w:val="000000"/>
          <w:sz w:val="17"/>
          <w:szCs w:val="17"/>
        </w:rPr>
        <w:t xml:space="preserve"> </w:t>
      </w:r>
      <w:r w:rsidR="00627A40" w:rsidRPr="00627A40">
        <w:t>(A/HRC/27/60, 13</w:t>
      </w:r>
      <w:r w:rsidR="00965E4D">
        <w:t> </w:t>
      </w:r>
      <w:r w:rsidR="00627A40" w:rsidRPr="00627A40">
        <w:t>August 2014)</w:t>
      </w:r>
      <w:bookmarkStart w:id="30" w:name="_ftnref1"/>
      <w:bookmarkEnd w:id="30"/>
      <w:r w:rsidR="00F902F7">
        <w:t xml:space="preserve"> states</w:t>
      </w:r>
      <w:r w:rsidR="001242A2">
        <w:t>:</w:t>
      </w:r>
    </w:p>
    <w:p w:rsidR="00627A40" w:rsidRPr="00627A40" w:rsidRDefault="00627A40" w:rsidP="003E77B3">
      <w:pPr>
        <w:pStyle w:val="ECHRParaQuote"/>
      </w:pPr>
      <w:r w:rsidRPr="00627A40">
        <w:t>“The findings presented in the present report, based on 480 interviews and evidence collected between 20 January and 15 July 2014, establish that the conduct of the warring parties in the Syrian Arab Republic has caused civilians immeasurable suffering.</w:t>
      </w:r>
    </w:p>
    <w:p w:rsidR="00627A40" w:rsidRPr="00627A40" w:rsidRDefault="00627A40" w:rsidP="003E77B3">
      <w:pPr>
        <w:pStyle w:val="ECHRParaQuote"/>
      </w:pPr>
      <w:r w:rsidRPr="00627A40">
        <w:t>Government forces continued to perpetrate massacres and conduct widespread attacks on civilians, systematically committing murder, torture, rape and enforced disappearance amounting to crimes against humanity. Government forces have committed gross violations of human rights and the war crimes of murder, hostage</w:t>
      </w:r>
      <w:r w:rsidRPr="00627A40">
        <w:noBreakHyphen/>
        <w:t>taking, torture, rape and sexual violence, recruiting and using children in hostilities and targeting civilians. Government forces disregarded the special protection accorded to hospitals and medical and humanitarian personnel. Indiscriminate and disproportionate aerial bombardment and shelling led to mass civilian casualties and spread terror. Government forces used chlorine gas, an illegal weapon.</w:t>
      </w:r>
    </w:p>
    <w:p w:rsidR="00627A40" w:rsidRPr="00627A40" w:rsidRDefault="00627A40" w:rsidP="003E77B3">
      <w:pPr>
        <w:pStyle w:val="ECHRParaQuote"/>
      </w:pPr>
      <w:r w:rsidRPr="00627A40">
        <w:t xml:space="preserve">Non-State armed groups, named in the report, committed massacres and war crimes, including murder, execution without due process, torture, hostage-taking, violations of international humanitarian law tantamount to enforced disappearance, rape and sexual violence, recruiting and using children in hostilities and attacking protected objects. Medical and religious personnel and journalists were targeted. Armed groups besieged and indiscriminately shelled civilian neighbourhoods, in some instances spreading terror among civilians through the use of car bombings in civilian areas. Members of the Islamic State of Iraq and Al-Sham (ISIS) committed torture, murder, acts tantamount to enforced disappearance, and forcible displacement as part of an attack on the civilian population in Aleppo and </w:t>
      </w:r>
      <w:proofErr w:type="spellStart"/>
      <w:r w:rsidRPr="00627A40">
        <w:t>Ar</w:t>
      </w:r>
      <w:proofErr w:type="spellEnd"/>
      <w:r w:rsidRPr="00627A40">
        <w:t xml:space="preserve"> </w:t>
      </w:r>
      <w:proofErr w:type="spellStart"/>
      <w:r w:rsidRPr="00627A40">
        <w:t>Raqqah</w:t>
      </w:r>
      <w:proofErr w:type="spellEnd"/>
      <w:r w:rsidRPr="00627A40">
        <w:t xml:space="preserve"> governorates, amounting to crimes against humanity.”</w:t>
      </w:r>
    </w:p>
    <w:bookmarkStart w:id="31" w:name="COO2UNHCR27OctAug14"/>
    <w:p w:rsidR="009E1BDD" w:rsidRDefault="004077F3" w:rsidP="00541419">
      <w:pPr>
        <w:pStyle w:val="ECHRPara"/>
        <w:rPr>
          <w:rFonts w:ascii="Times New Roman" w:eastAsiaTheme="minorHAnsi" w:hAnsi="Times New Roman" w:cs="Times New Roman"/>
          <w:szCs w:val="24"/>
        </w:rPr>
      </w:pPr>
      <w:r>
        <w:fldChar w:fldCharType="begin"/>
      </w:r>
      <w:r>
        <w:instrText xml:space="preserve"> SEQ level0 \*arabic </w:instrText>
      </w:r>
      <w:r>
        <w:fldChar w:fldCharType="separate"/>
      </w:r>
      <w:r w:rsidR="00D21AD2">
        <w:rPr>
          <w:noProof/>
        </w:rPr>
        <w:t>77</w:t>
      </w:r>
      <w:r>
        <w:fldChar w:fldCharType="end"/>
      </w:r>
      <w:bookmarkEnd w:id="31"/>
      <w:r w:rsidRPr="00D25C2F">
        <w:rPr>
          <w:szCs w:val="24"/>
        </w:rPr>
        <w:t>.  Since March</w:t>
      </w:r>
      <w:r w:rsidRPr="00D25C2F">
        <w:rPr>
          <w:rFonts w:ascii="Times New Roman" w:eastAsiaTheme="minorHAnsi" w:hAnsi="Times New Roman" w:cs="Times New Roman"/>
          <w:szCs w:val="24"/>
        </w:rPr>
        <w:t xml:space="preserve"> 2012 </w:t>
      </w:r>
      <w:r w:rsidR="00F902F7">
        <w:rPr>
          <w:rFonts w:ascii="Times New Roman" w:eastAsiaTheme="minorHAnsi" w:hAnsi="Times New Roman" w:cs="Times New Roman"/>
          <w:szCs w:val="24"/>
        </w:rPr>
        <w:t xml:space="preserve">the </w:t>
      </w:r>
      <w:r w:rsidR="002567FA">
        <w:rPr>
          <w:szCs w:val="24"/>
        </w:rPr>
        <w:t>UNHCR</w:t>
      </w:r>
      <w:r w:rsidR="00541419" w:rsidRPr="00D25C2F">
        <w:rPr>
          <w:rFonts w:ascii="Times New Roman" w:eastAsiaTheme="minorHAnsi" w:hAnsi="Times New Roman" w:cs="Times New Roman"/>
          <w:szCs w:val="24"/>
        </w:rPr>
        <w:t xml:space="preserve"> </w:t>
      </w:r>
      <w:r w:rsidR="00F902F7">
        <w:rPr>
          <w:rFonts w:ascii="Times New Roman" w:eastAsiaTheme="minorHAnsi" w:hAnsi="Times New Roman" w:cs="Times New Roman"/>
          <w:szCs w:val="24"/>
        </w:rPr>
        <w:t xml:space="preserve">has </w:t>
      </w:r>
      <w:r w:rsidR="00541419" w:rsidRPr="00D25C2F">
        <w:rPr>
          <w:rFonts w:ascii="Times New Roman" w:eastAsiaTheme="minorHAnsi" w:hAnsi="Times New Roman" w:cs="Times New Roman"/>
          <w:szCs w:val="24"/>
        </w:rPr>
        <w:t>issued several subsequent papers</w:t>
      </w:r>
      <w:r w:rsidR="00F902F7">
        <w:rPr>
          <w:rFonts w:ascii="Times New Roman" w:eastAsiaTheme="minorHAnsi" w:hAnsi="Times New Roman" w:cs="Times New Roman"/>
          <w:szCs w:val="24"/>
        </w:rPr>
        <w:t>, including those</w:t>
      </w:r>
      <w:r w:rsidR="00541419" w:rsidRPr="00D25C2F">
        <w:rPr>
          <w:rFonts w:ascii="Times New Roman" w:eastAsiaTheme="minorHAnsi" w:hAnsi="Times New Roman" w:cs="Times New Roman"/>
          <w:szCs w:val="24"/>
        </w:rPr>
        <w:t xml:space="preserve"> entitled </w:t>
      </w:r>
      <w:r w:rsidR="009A35D9">
        <w:rPr>
          <w:rFonts w:ascii="Times New Roman" w:eastAsiaTheme="minorHAnsi" w:hAnsi="Times New Roman" w:cs="Times New Roman"/>
          <w:szCs w:val="24"/>
        </w:rPr>
        <w:t>“</w:t>
      </w:r>
      <w:r w:rsidRPr="00DA5CB8">
        <w:rPr>
          <w:rFonts w:ascii="Times New Roman" w:eastAsiaTheme="minorHAnsi" w:hAnsi="Times New Roman" w:cs="Times New Roman"/>
          <w:szCs w:val="24"/>
        </w:rPr>
        <w:t>Position on Returns to the Syrian</w:t>
      </w:r>
      <w:r w:rsidR="00541419" w:rsidRPr="00DA5CB8">
        <w:rPr>
          <w:rFonts w:ascii="Times New Roman" w:eastAsiaTheme="minorHAnsi" w:hAnsi="Times New Roman" w:cs="Times New Roman"/>
          <w:szCs w:val="24"/>
        </w:rPr>
        <w:t xml:space="preserve"> </w:t>
      </w:r>
      <w:r w:rsidRPr="00DA5CB8">
        <w:rPr>
          <w:rFonts w:ascii="Times New Roman" w:eastAsiaTheme="minorHAnsi" w:hAnsi="Times New Roman" w:cs="Times New Roman"/>
          <w:szCs w:val="24"/>
        </w:rPr>
        <w:t>Arabic Republic</w:t>
      </w:r>
      <w:r w:rsidR="009A35D9">
        <w:rPr>
          <w:rFonts w:ascii="Times New Roman" w:eastAsiaTheme="minorHAnsi" w:hAnsi="Times New Roman" w:cs="Times New Roman"/>
          <w:szCs w:val="24"/>
        </w:rPr>
        <w:t>”</w:t>
      </w:r>
      <w:r w:rsidR="00541419" w:rsidRPr="00D25C2F">
        <w:rPr>
          <w:rFonts w:ascii="Times New Roman" w:eastAsiaTheme="minorHAnsi" w:hAnsi="Times New Roman" w:cs="Times New Roman"/>
          <w:szCs w:val="24"/>
        </w:rPr>
        <w:t xml:space="preserve"> and, later, </w:t>
      </w:r>
      <w:r w:rsidR="009A35D9">
        <w:rPr>
          <w:rFonts w:ascii="Times New Roman" w:eastAsiaTheme="minorHAnsi" w:hAnsi="Times New Roman" w:cs="Times New Roman"/>
          <w:szCs w:val="24"/>
        </w:rPr>
        <w:t xml:space="preserve">“International </w:t>
      </w:r>
      <w:r w:rsidR="00541419" w:rsidRPr="00DA5CB8">
        <w:rPr>
          <w:rFonts w:ascii="Times New Roman" w:eastAsiaTheme="minorHAnsi" w:hAnsi="Times New Roman" w:cs="Times New Roman"/>
          <w:szCs w:val="24"/>
        </w:rPr>
        <w:t>Protection Considerations with regard to people fleeing the Syrian Arab Republic</w:t>
      </w:r>
      <w:r w:rsidR="009A35D9" w:rsidRPr="00DA5CB8">
        <w:rPr>
          <w:rFonts w:ascii="Times New Roman" w:eastAsiaTheme="minorHAnsi" w:hAnsi="Times New Roman" w:cs="Times New Roman"/>
          <w:szCs w:val="24"/>
        </w:rPr>
        <w:t>”</w:t>
      </w:r>
      <w:r w:rsidR="00541419" w:rsidRPr="00D25C2F">
        <w:rPr>
          <w:rFonts w:ascii="Times New Roman" w:eastAsiaTheme="minorHAnsi" w:hAnsi="Times New Roman" w:cs="Times New Roman"/>
          <w:szCs w:val="24"/>
        </w:rPr>
        <w:t xml:space="preserve">, with updates. </w:t>
      </w:r>
      <w:r w:rsidR="001436E5">
        <w:rPr>
          <w:rFonts w:ascii="Times New Roman" w:eastAsiaTheme="minorHAnsi" w:hAnsi="Times New Roman" w:cs="Times New Roman"/>
          <w:szCs w:val="24"/>
        </w:rPr>
        <w:t>The latest</w:t>
      </w:r>
      <w:r w:rsidR="00F902F7">
        <w:rPr>
          <w:rFonts w:ascii="Times New Roman" w:eastAsiaTheme="minorHAnsi" w:hAnsi="Times New Roman" w:cs="Times New Roman"/>
          <w:szCs w:val="24"/>
        </w:rPr>
        <w:t>,</w:t>
      </w:r>
      <w:r w:rsidR="001436E5">
        <w:rPr>
          <w:rFonts w:ascii="Times New Roman" w:eastAsiaTheme="minorHAnsi" w:hAnsi="Times New Roman" w:cs="Times New Roman"/>
          <w:szCs w:val="24"/>
        </w:rPr>
        <w:t xml:space="preserve"> </w:t>
      </w:r>
      <w:r w:rsidR="009A35D9">
        <w:rPr>
          <w:rFonts w:ascii="Times New Roman" w:eastAsiaTheme="minorHAnsi" w:hAnsi="Times New Roman" w:cs="Times New Roman"/>
          <w:szCs w:val="24"/>
        </w:rPr>
        <w:t>“</w:t>
      </w:r>
      <w:r w:rsidR="00541419" w:rsidRPr="00D25C2F">
        <w:rPr>
          <w:rFonts w:ascii="Times New Roman" w:eastAsiaTheme="minorHAnsi" w:hAnsi="Times New Roman" w:cs="Times New Roman"/>
          <w:szCs w:val="24"/>
        </w:rPr>
        <w:t>Update III</w:t>
      </w:r>
      <w:r w:rsidR="009A35D9">
        <w:rPr>
          <w:rFonts w:ascii="Times New Roman" w:eastAsiaTheme="minorHAnsi" w:hAnsi="Times New Roman" w:cs="Times New Roman"/>
          <w:szCs w:val="24"/>
        </w:rPr>
        <w:t>”</w:t>
      </w:r>
      <w:r w:rsidR="00541419" w:rsidRPr="00D25C2F">
        <w:rPr>
          <w:rFonts w:ascii="Times New Roman" w:eastAsiaTheme="minorHAnsi" w:hAnsi="Times New Roman" w:cs="Times New Roman"/>
          <w:szCs w:val="24"/>
        </w:rPr>
        <w:t xml:space="preserve"> of 27 October 2014</w:t>
      </w:r>
      <w:r w:rsidR="00F902F7">
        <w:rPr>
          <w:rFonts w:ascii="Times New Roman" w:eastAsiaTheme="minorHAnsi" w:hAnsi="Times New Roman" w:cs="Times New Roman"/>
          <w:szCs w:val="24"/>
        </w:rPr>
        <w:t>,</w:t>
      </w:r>
      <w:r w:rsidR="00541419" w:rsidRPr="00D25C2F">
        <w:rPr>
          <w:rFonts w:ascii="Times New Roman" w:eastAsiaTheme="minorHAnsi" w:hAnsi="Times New Roman" w:cs="Times New Roman"/>
          <w:szCs w:val="24"/>
        </w:rPr>
        <w:t xml:space="preserve"> states:</w:t>
      </w:r>
    </w:p>
    <w:p w:rsidR="00541419" w:rsidRPr="00541419" w:rsidRDefault="001242A2" w:rsidP="001242A2">
      <w:pPr>
        <w:pStyle w:val="ECHRParaQuote"/>
      </w:pPr>
      <w:r>
        <w:t>“</w:t>
      </w:r>
      <w:r w:rsidR="00541419" w:rsidRPr="00541419">
        <w:t>2.</w:t>
      </w:r>
      <w:proofErr w:type="gramStart"/>
      <w:r w:rsidR="00965E4D">
        <w:t>  </w:t>
      </w:r>
      <w:r w:rsidR="00541419" w:rsidRPr="00541419">
        <w:t>Nearly</w:t>
      </w:r>
      <w:proofErr w:type="gramEnd"/>
      <w:r w:rsidR="00541419" w:rsidRPr="00541419">
        <w:t xml:space="preserve"> all parts of the country are now embroiled in violence, which is playing out between different actors in</w:t>
      </w:r>
      <w:r w:rsidR="0001315A">
        <w:t xml:space="preserve"> </w:t>
      </w:r>
      <w:r w:rsidR="00541419" w:rsidRPr="00541419">
        <w:t>partially overlapping conflicts and is exacerbated by the participation of foreign fighters on all sides. Fighting</w:t>
      </w:r>
      <w:r w:rsidR="0001315A">
        <w:t xml:space="preserve"> </w:t>
      </w:r>
      <w:r w:rsidR="00541419" w:rsidRPr="00541419">
        <w:t>between the Syrian government forces and an array of anti-government armed groups continues unabated. In</w:t>
      </w:r>
      <w:r w:rsidR="0001315A">
        <w:t xml:space="preserve"> </w:t>
      </w:r>
      <w:r w:rsidR="00541419" w:rsidRPr="00541419">
        <w:t>parallel, the group “Islamic State of Iraq and Al-Sham” (hereafter ISIS) has consolidated control over significant</w:t>
      </w:r>
      <w:r w:rsidR="0001315A">
        <w:t xml:space="preserve"> </w:t>
      </w:r>
      <w:r w:rsidR="00541419" w:rsidRPr="00541419">
        <w:t>areas in northern and north-eastern Syria and engages in frequent armed confrontations with anti-government</w:t>
      </w:r>
      <w:r w:rsidR="0001315A">
        <w:t xml:space="preserve"> </w:t>
      </w:r>
      <w:r w:rsidR="00541419" w:rsidRPr="00541419">
        <w:t>armed groups, Kurdish forces (People</w:t>
      </w:r>
      <w:r w:rsidR="00BA3D89">
        <w:t>’</w:t>
      </w:r>
      <w:r w:rsidR="00541419" w:rsidRPr="00541419">
        <w:t>s Protection Units, YPG) as well as government forces. The launch of</w:t>
      </w:r>
      <w:r w:rsidR="0001315A">
        <w:t xml:space="preserve"> </w:t>
      </w:r>
      <w:r w:rsidR="00541419" w:rsidRPr="00541419">
        <w:t>airstrikes against ISIS targets as of 23 September 2014 has added an additional layer of complexity to the</w:t>
      </w:r>
      <w:r w:rsidR="0001315A">
        <w:t xml:space="preserve"> </w:t>
      </w:r>
      <w:r w:rsidR="00541419" w:rsidRPr="00541419">
        <w:t>conflict. As international efforts to find a political solution to the Syria situation have so far not been successful,</w:t>
      </w:r>
      <w:r w:rsidR="0001315A">
        <w:t xml:space="preserve"> </w:t>
      </w:r>
      <w:r w:rsidR="00541419" w:rsidRPr="00541419">
        <w:t>the conflict continues to cause further civilian casualties, displacement and destruction of the country</w:t>
      </w:r>
      <w:r w:rsidR="00BA3D89">
        <w:t>’</w:t>
      </w:r>
      <w:r w:rsidR="00541419" w:rsidRPr="00541419">
        <w:t>s</w:t>
      </w:r>
      <w:r w:rsidR="0001315A">
        <w:t xml:space="preserve"> </w:t>
      </w:r>
      <w:r w:rsidR="00541419" w:rsidRPr="00541419">
        <w:t>infrastructure.</w:t>
      </w:r>
      <w:r w:rsidR="0001315A">
        <w:t xml:space="preserve"> </w:t>
      </w:r>
      <w:r w:rsidR="009179EF">
        <w:t>...</w:t>
      </w:r>
    </w:p>
    <w:p w:rsidR="0001315A" w:rsidRPr="0001315A" w:rsidRDefault="0001315A" w:rsidP="0001315A">
      <w:pPr>
        <w:pStyle w:val="ECHRParaQuote"/>
        <w:rPr>
          <w:b/>
          <w:i/>
        </w:rPr>
      </w:pPr>
      <w:r w:rsidRPr="0001315A">
        <w:rPr>
          <w:b/>
          <w:i/>
        </w:rPr>
        <w:t>Civilian Casualties</w:t>
      </w:r>
    </w:p>
    <w:p w:rsidR="00541419" w:rsidRDefault="0001315A" w:rsidP="0001315A">
      <w:pPr>
        <w:pStyle w:val="ECHRParaQuote"/>
      </w:pPr>
      <w:r w:rsidRPr="002774BD">
        <w:t>4</w:t>
      </w:r>
      <w:r w:rsidR="00965E4D">
        <w:t>.  </w:t>
      </w:r>
      <w:r w:rsidRPr="0001315A">
        <w:t>The number of persons killed as a result of the conflict has reportedly surpassed 191,000 by April 2014. The</w:t>
      </w:r>
      <w:r>
        <w:t xml:space="preserve"> </w:t>
      </w:r>
      <w:r w:rsidRPr="0001315A">
        <w:t xml:space="preserve">greatest number of documented deaths was recorded in </w:t>
      </w:r>
      <w:r w:rsidRPr="0001315A">
        <w:lastRenderedPageBreak/>
        <w:t>the governorate of Rural Damascus, followed by Aleppo,</w:t>
      </w:r>
      <w:r>
        <w:t xml:space="preserve"> </w:t>
      </w:r>
      <w:r w:rsidRPr="0001315A">
        <w:t xml:space="preserve">Homs, </w:t>
      </w:r>
      <w:proofErr w:type="spellStart"/>
      <w:r w:rsidRPr="0001315A">
        <w:t>Idlib</w:t>
      </w:r>
      <w:proofErr w:type="spellEnd"/>
      <w:r w:rsidRPr="0001315A">
        <w:t xml:space="preserve">, </w:t>
      </w:r>
      <w:proofErr w:type="spellStart"/>
      <w:r w:rsidRPr="0001315A">
        <w:t>Dera</w:t>
      </w:r>
      <w:r w:rsidR="00BA3D89">
        <w:t>’</w:t>
      </w:r>
      <w:r w:rsidRPr="0001315A">
        <w:t>a</w:t>
      </w:r>
      <w:proofErr w:type="spellEnd"/>
      <w:r w:rsidRPr="0001315A">
        <w:t xml:space="preserve"> and Hama governorates. The deterioration of Syria</w:t>
      </w:r>
      <w:r w:rsidR="00BA3D89">
        <w:t>’</w:t>
      </w:r>
      <w:r w:rsidRPr="0001315A">
        <w:t>s healthcare system has reportedly</w:t>
      </w:r>
      <w:r>
        <w:t xml:space="preserve"> </w:t>
      </w:r>
      <w:r w:rsidRPr="0001315A">
        <w:t>resulted in thousands of ordinarily preventable deaths from chronic diseases, premature deaths due to normally</w:t>
      </w:r>
      <w:r>
        <w:t xml:space="preserve"> </w:t>
      </w:r>
      <w:r w:rsidRPr="0001315A">
        <w:t>nonfatal infectious diseases, neonatal problems and malnutrition. In addition, the conflict has resulted in</w:t>
      </w:r>
      <w:r>
        <w:t xml:space="preserve"> </w:t>
      </w:r>
      <w:r w:rsidRPr="0001315A">
        <w:t>hundreds of thousands of people wounded, often resulting in long-term disabilities, and many more suffering</w:t>
      </w:r>
      <w:r w:rsidR="002774BD">
        <w:t xml:space="preserve"> </w:t>
      </w:r>
      <w:r w:rsidRPr="0001315A">
        <w:t>from the psychological consequences of having been witness to violence, the loss of family members,</w:t>
      </w:r>
      <w:r w:rsidR="002774BD">
        <w:t xml:space="preserve"> </w:t>
      </w:r>
      <w:r w:rsidRPr="0001315A">
        <w:t>displacement and deprivation.</w:t>
      </w:r>
    </w:p>
    <w:p w:rsidR="002774BD" w:rsidRPr="002774BD" w:rsidRDefault="002774BD" w:rsidP="008A7596">
      <w:pPr>
        <w:pStyle w:val="ECHRParaQuote"/>
        <w:keepNext/>
        <w:rPr>
          <w:b/>
          <w:bCs/>
          <w:i/>
          <w:iCs/>
        </w:rPr>
      </w:pPr>
      <w:r w:rsidRPr="002774BD">
        <w:rPr>
          <w:b/>
          <w:bCs/>
          <w:i/>
          <w:iCs/>
        </w:rPr>
        <w:t>Forced Displacement</w:t>
      </w:r>
    </w:p>
    <w:p w:rsidR="002774BD" w:rsidRPr="002774BD" w:rsidRDefault="00965E4D" w:rsidP="008A7596">
      <w:pPr>
        <w:pStyle w:val="ECHRParaQuote"/>
        <w:keepNext/>
      </w:pPr>
      <w:r>
        <w:t>5.  </w:t>
      </w:r>
      <w:r w:rsidR="002774BD" w:rsidRPr="002774BD">
        <w:t>The conflict in Syria has caused the largest refugee displacement crisis of our times, with Syrians now the world</w:t>
      </w:r>
      <w:r w:rsidR="00BA3D89">
        <w:t>’</w:t>
      </w:r>
      <w:r w:rsidR="002774BD" w:rsidRPr="002774BD">
        <w:t>s</w:t>
      </w:r>
      <w:r w:rsidR="002774BD">
        <w:t xml:space="preserve"> </w:t>
      </w:r>
      <w:r w:rsidR="002774BD" w:rsidRPr="002774BD">
        <w:t>largest refugee population under UNHCR</w:t>
      </w:r>
      <w:r w:rsidR="00BA3D89">
        <w:t>’</w:t>
      </w:r>
      <w:r w:rsidR="002774BD" w:rsidRPr="002774BD">
        <w:t>s mandate. It continues to generate increasing levels of displacement</w:t>
      </w:r>
      <w:r w:rsidR="002774BD">
        <w:t xml:space="preserve"> </w:t>
      </w:r>
      <w:r w:rsidR="002774BD" w:rsidRPr="002774BD">
        <w:t>each day with an average of 100,000 refugees arriving in host countries in the region every month in 2014. Since</w:t>
      </w:r>
      <w:r w:rsidR="002774BD">
        <w:t xml:space="preserve"> </w:t>
      </w:r>
      <w:r w:rsidR="002774BD" w:rsidRPr="002774BD">
        <w:t>March 2014, the Syria conflict has resulted in nearly half of the population displaced, comprising 6.45 million</w:t>
      </w:r>
      <w:r w:rsidR="002774BD">
        <w:t xml:space="preserve"> </w:t>
      </w:r>
      <w:r w:rsidR="002774BD" w:rsidRPr="002774BD">
        <w:t xml:space="preserve">inside Syria and over 3.2 million registered refugees who have fled to neighbouring countries. </w:t>
      </w:r>
      <w:r w:rsidR="009179EF">
        <w:t>...</w:t>
      </w:r>
    </w:p>
    <w:p w:rsidR="002774BD" w:rsidRPr="002774BD" w:rsidRDefault="002774BD" w:rsidP="002774BD">
      <w:pPr>
        <w:pStyle w:val="ECHRParaQuote"/>
        <w:rPr>
          <w:b/>
          <w:bCs/>
          <w:i/>
          <w:iCs/>
        </w:rPr>
      </w:pPr>
      <w:r w:rsidRPr="002774BD">
        <w:rPr>
          <w:b/>
          <w:bCs/>
          <w:i/>
          <w:iCs/>
        </w:rPr>
        <w:t>Human Rights Situation and Violations of International Humanitarian Law</w:t>
      </w:r>
    </w:p>
    <w:p w:rsidR="002774BD" w:rsidRDefault="00965E4D" w:rsidP="002774BD">
      <w:pPr>
        <w:pStyle w:val="ECHRParaQuote"/>
      </w:pPr>
      <w:r>
        <w:t>8.  </w:t>
      </w:r>
      <w:r w:rsidR="002774BD" w:rsidRPr="002774BD">
        <w:t>The protection situation in Syria has progressively and dramatically deteriorated. According to the UN Secretary-General, “[T]</w:t>
      </w:r>
      <w:r w:rsidR="002774BD" w:rsidRPr="002774BD">
        <w:rPr>
          <w:i/>
          <w:iCs/>
        </w:rPr>
        <w:t>he conflict continues to be characterized by horrendous violations of international humanitarian law</w:t>
      </w:r>
      <w:r w:rsidR="002774BD">
        <w:rPr>
          <w:i/>
          <w:iCs/>
        </w:rPr>
        <w:t xml:space="preserve"> </w:t>
      </w:r>
      <w:r w:rsidR="002774BD" w:rsidRPr="002774BD">
        <w:rPr>
          <w:i/>
          <w:iCs/>
        </w:rPr>
        <w:t>and human rights abuses, with a total disregard for humanity</w:t>
      </w:r>
      <w:r w:rsidR="002774BD" w:rsidRPr="002774BD">
        <w:t>” and the Independent Commission of Inquiry</w:t>
      </w:r>
      <w:r w:rsidR="002774BD">
        <w:t xml:space="preserve"> </w:t>
      </w:r>
      <w:r w:rsidR="002774BD" w:rsidRPr="002774BD">
        <w:t>summarized in its most recent report the impact of the conduct of the warring parties on civilians as</w:t>
      </w:r>
      <w:r w:rsidR="002774BD">
        <w:t xml:space="preserve"> </w:t>
      </w:r>
      <w:r w:rsidR="002774BD" w:rsidRPr="002774BD">
        <w:t>“</w:t>
      </w:r>
      <w:r w:rsidR="002774BD" w:rsidRPr="002774BD">
        <w:rPr>
          <w:i/>
          <w:iCs/>
        </w:rPr>
        <w:t>immeasurable suffering</w:t>
      </w:r>
      <w:r w:rsidR="002774BD" w:rsidRPr="002774BD">
        <w:t>”. Parties to the conflict are reported to commit war crimes and gross violations of</w:t>
      </w:r>
      <w:r w:rsidR="002774BD">
        <w:t xml:space="preserve"> </w:t>
      </w:r>
      <w:r w:rsidR="002774BD" w:rsidRPr="002774BD">
        <w:t>human rights, including acts amounting to crimes against humanity, with widespread impunity.</w:t>
      </w:r>
      <w:r w:rsidR="00751F40">
        <w:t xml:space="preserve"> </w:t>
      </w:r>
      <w:r w:rsidR="009179EF">
        <w:t>...</w:t>
      </w:r>
    </w:p>
    <w:p w:rsidR="002774BD" w:rsidRPr="002774BD" w:rsidRDefault="002774BD" w:rsidP="002774BD">
      <w:pPr>
        <w:pStyle w:val="ECHRParaQuote"/>
        <w:rPr>
          <w:b/>
          <w:bCs/>
          <w:i/>
          <w:iCs/>
        </w:rPr>
      </w:pPr>
      <w:r w:rsidRPr="002774BD">
        <w:rPr>
          <w:b/>
          <w:bCs/>
          <w:i/>
          <w:iCs/>
        </w:rPr>
        <w:t>Access to Territory and the Right to Seek Asylum</w:t>
      </w:r>
    </w:p>
    <w:p w:rsidR="002774BD" w:rsidRDefault="00965E4D" w:rsidP="002774BD">
      <w:pPr>
        <w:pStyle w:val="ECHRParaQuote"/>
      </w:pPr>
      <w:r>
        <w:t>21.  </w:t>
      </w:r>
      <w:r w:rsidR="002774BD" w:rsidRPr="002774BD">
        <w:t>UNHCR characterizes the flight of civilians from Syria as a refugee movement. Syrians, and Palestine refugees</w:t>
      </w:r>
      <w:r w:rsidR="002774BD">
        <w:t xml:space="preserve"> </w:t>
      </w:r>
      <w:r w:rsidR="002774BD" w:rsidRPr="002774BD">
        <w:t>who had their former habitual residence in Syria, require international protection until such time as the security</w:t>
      </w:r>
      <w:r w:rsidR="002774BD">
        <w:t xml:space="preserve"> </w:t>
      </w:r>
      <w:r w:rsidR="002774BD" w:rsidRPr="002774BD">
        <w:t>and human rights situation in Syria improves significantly and conditions for voluntary return in safety and</w:t>
      </w:r>
      <w:r w:rsidR="002774BD">
        <w:t xml:space="preserve"> </w:t>
      </w:r>
      <w:r w:rsidR="002774BD" w:rsidRPr="002774BD">
        <w:t>dignity are met.</w:t>
      </w:r>
      <w:r w:rsidR="002774BD">
        <w:t xml:space="preserve"> </w:t>
      </w:r>
      <w:r w:rsidR="009179EF">
        <w:t>...</w:t>
      </w:r>
    </w:p>
    <w:p w:rsidR="002774BD" w:rsidRPr="002774BD" w:rsidRDefault="002774BD" w:rsidP="002774BD">
      <w:pPr>
        <w:pStyle w:val="ECHRParaQuote"/>
        <w:rPr>
          <w:b/>
          <w:bCs/>
          <w:i/>
          <w:iCs/>
        </w:rPr>
      </w:pPr>
      <w:r w:rsidRPr="002774BD">
        <w:rPr>
          <w:b/>
          <w:bCs/>
          <w:i/>
          <w:iCs/>
        </w:rPr>
        <w:t>Assessing Individual Asylum Claims</w:t>
      </w:r>
    </w:p>
    <w:p w:rsidR="002774BD" w:rsidRDefault="002774BD" w:rsidP="001D0355">
      <w:pPr>
        <w:pStyle w:val="ECHRParaQuote"/>
      </w:pPr>
      <w:r w:rsidRPr="002774BD">
        <w:t>26.</w:t>
      </w:r>
      <w:r w:rsidR="00965E4D">
        <w:t>  </w:t>
      </w:r>
      <w:r w:rsidRPr="002774BD">
        <w:t>While the majority of Syrians and others leaving the country remain in the region, the numbers of individuals who</w:t>
      </w:r>
      <w:r>
        <w:t xml:space="preserve"> </w:t>
      </w:r>
      <w:r w:rsidRPr="002774BD">
        <w:t>arrive in countries further afield and seek international protection are increasing. Their claims need to be assessed</w:t>
      </w:r>
      <w:r>
        <w:t xml:space="preserve"> </w:t>
      </w:r>
      <w:r w:rsidRPr="002774BD">
        <w:t>in fair and efficient procedures. UNHCR considers that most Syrians seeking international protection are likely to</w:t>
      </w:r>
      <w:r>
        <w:t xml:space="preserve"> </w:t>
      </w:r>
      <w:r w:rsidRPr="002774BD">
        <w:t xml:space="preserve">fulfil the requirements of the refugee definition contained in Article 1A(2) of the </w:t>
      </w:r>
      <w:r w:rsidRPr="002774BD">
        <w:rPr>
          <w:i/>
          <w:iCs/>
        </w:rPr>
        <w:t>1951 Convention relating to the</w:t>
      </w:r>
      <w:r>
        <w:rPr>
          <w:i/>
          <w:iCs/>
        </w:rPr>
        <w:t xml:space="preserve"> </w:t>
      </w:r>
      <w:r w:rsidRPr="002774BD">
        <w:rPr>
          <w:i/>
          <w:iCs/>
        </w:rPr>
        <w:t>Status of Refugees</w:t>
      </w:r>
      <w:r w:rsidRPr="002774BD">
        <w:t>, since they will have a well-founded fear of persecution linked to one of the Convention</w:t>
      </w:r>
      <w:r>
        <w:t xml:space="preserve"> </w:t>
      </w:r>
      <w:r w:rsidRPr="002774BD">
        <w:t>grounds. For many civilians who have fled Syria, the nexus to a 1951 Convention ground will lie in the direct or</w:t>
      </w:r>
      <w:r w:rsidR="001D0355">
        <w:t xml:space="preserve"> </w:t>
      </w:r>
      <w:r w:rsidR="001D0355" w:rsidRPr="001D0355">
        <w:t>indirect, real or perceived association with one of the parties to the conflict. In order for an individual to meet</w:t>
      </w:r>
      <w:r w:rsidR="001D0355">
        <w:t xml:space="preserve"> </w:t>
      </w:r>
      <w:r w:rsidR="001D0355" w:rsidRPr="001D0355">
        <w:t>the refugee criteria there is no requirement of having been individually targeted in the sense of having been</w:t>
      </w:r>
      <w:r w:rsidR="001D0355">
        <w:t xml:space="preserve"> </w:t>
      </w:r>
      <w:r w:rsidR="001D0355" w:rsidRPr="001D0355">
        <w:t>“singled out” for persecution which already took place or being at risk thereof. Syrians and habitual residents of</w:t>
      </w:r>
      <w:r w:rsidR="001D0355">
        <w:t xml:space="preserve"> </w:t>
      </w:r>
      <w:r w:rsidR="001D0355" w:rsidRPr="001D0355">
        <w:t>Syria who have fled may, for example, be at risk of persecution for reason of an imputed political opinion because</w:t>
      </w:r>
      <w:r w:rsidR="001D0355">
        <w:t xml:space="preserve"> </w:t>
      </w:r>
      <w:r w:rsidR="001D0355" w:rsidRPr="001D0355">
        <w:t>of who controls the neighbourhood or village where they used to live, or because they belong to a religious or</w:t>
      </w:r>
      <w:r w:rsidR="001D0355">
        <w:t xml:space="preserve"> </w:t>
      </w:r>
      <w:r w:rsidR="001D0355" w:rsidRPr="001D0355">
        <w:t>ethnic minority that is associated or perceived to be associated with a particular party to the conflict. In this</w:t>
      </w:r>
      <w:r w:rsidR="001D0355">
        <w:t xml:space="preserve"> </w:t>
      </w:r>
      <w:r w:rsidR="001D0355" w:rsidRPr="001D0355">
        <w:t xml:space="preserve">regard, UNHCR welcomes the increased granting of refugee status to asylum-seekers </w:t>
      </w:r>
      <w:r w:rsidR="001D0355" w:rsidRPr="001D0355">
        <w:lastRenderedPageBreak/>
        <w:t>from Syria by EU Member</w:t>
      </w:r>
      <w:r w:rsidR="001D0355">
        <w:t xml:space="preserve"> </w:t>
      </w:r>
      <w:r w:rsidR="001D0355" w:rsidRPr="001D0355">
        <w:t>States in 2014, in comparison to 2013, when most EU</w:t>
      </w:r>
      <w:r w:rsidR="00965E4D">
        <w:t> </w:t>
      </w:r>
      <w:r w:rsidR="001D0355" w:rsidRPr="001D0355">
        <w:t>Member States predominantly granted subsidiary</w:t>
      </w:r>
      <w:r w:rsidR="001D0355">
        <w:t xml:space="preserve"> </w:t>
      </w:r>
      <w:r w:rsidR="001D0355" w:rsidRPr="001D0355">
        <w:t>protection to Syrians.</w:t>
      </w:r>
      <w:r w:rsidR="001D0355">
        <w:t xml:space="preserve"> </w:t>
      </w:r>
      <w:r w:rsidR="009179EF">
        <w:t>...</w:t>
      </w:r>
    </w:p>
    <w:p w:rsidR="001D0355" w:rsidRPr="001D0355" w:rsidRDefault="001D0355" w:rsidP="001D0355">
      <w:pPr>
        <w:pStyle w:val="ECHRParaQuote"/>
        <w:rPr>
          <w:b/>
          <w:bCs/>
          <w:i/>
          <w:iCs/>
        </w:rPr>
      </w:pPr>
      <w:r w:rsidRPr="001D0355">
        <w:rPr>
          <w:b/>
          <w:bCs/>
          <w:i/>
          <w:iCs/>
        </w:rPr>
        <w:t>Returns, Moratorium on Forced Returns and Consideration of Sur Place Claims</w:t>
      </w:r>
    </w:p>
    <w:p w:rsidR="001D0355" w:rsidRPr="001D0355" w:rsidRDefault="00965E4D" w:rsidP="001D0355">
      <w:pPr>
        <w:pStyle w:val="ECHRParaQuote"/>
      </w:pPr>
      <w:r>
        <w:t>30.  </w:t>
      </w:r>
      <w:r w:rsidR="001D0355" w:rsidRPr="001D0355">
        <w:t>As the situation in Syria is likely to remain uncertain for the near future, UNHCR welcomes the fact that several</w:t>
      </w:r>
      <w:r w:rsidR="001D0355">
        <w:t xml:space="preserve"> </w:t>
      </w:r>
      <w:r w:rsidR="001D0355" w:rsidRPr="001D0355">
        <w:t>Governments have taken measures to suspend the forcible return of nationals or habitual residents of Syria,</w:t>
      </w:r>
      <w:r w:rsidR="001D0355">
        <w:t xml:space="preserve"> </w:t>
      </w:r>
      <w:r w:rsidR="001D0355" w:rsidRPr="001D0355">
        <w:t>including those whose asylum claims have been rejected. Such measures should remain in place until further</w:t>
      </w:r>
      <w:r w:rsidR="001D0355">
        <w:t xml:space="preserve"> </w:t>
      </w:r>
      <w:r w:rsidR="001D0355" w:rsidRPr="001D0355">
        <w:t xml:space="preserve">notice. </w:t>
      </w:r>
      <w:r w:rsidR="00555672">
        <w:t>..</w:t>
      </w:r>
      <w:r w:rsidR="001D0355" w:rsidRPr="001D0355">
        <w:t>.</w:t>
      </w:r>
    </w:p>
    <w:p w:rsidR="002774BD" w:rsidRDefault="00965E4D" w:rsidP="001D0355">
      <w:pPr>
        <w:pStyle w:val="ECHRParaQuote"/>
      </w:pPr>
      <w:r>
        <w:t>31.</w:t>
      </w:r>
      <w:proofErr w:type="gramStart"/>
      <w:r>
        <w:t>  </w:t>
      </w:r>
      <w:r w:rsidR="001D0355" w:rsidRPr="001D0355">
        <w:t>In</w:t>
      </w:r>
      <w:proofErr w:type="gramEnd"/>
      <w:r w:rsidR="001D0355" w:rsidRPr="001D0355">
        <w:t xml:space="preserve"> light of the developments and changed circumstances in Syria, it may be appropriate to reopen case files of</w:t>
      </w:r>
      <w:r w:rsidR="001D0355">
        <w:t xml:space="preserve"> </w:t>
      </w:r>
      <w:r w:rsidR="001D0355" w:rsidRPr="001D0355">
        <w:t>Syrians whose asylum claim were rejected in the past, to the extent that has not yet been done, so as to ensure that</w:t>
      </w:r>
      <w:r w:rsidR="001D0355">
        <w:t xml:space="preserve"> </w:t>
      </w:r>
      <w:r w:rsidR="001D0355" w:rsidRPr="001D0355">
        <w:t xml:space="preserve">those who as a result of changed circumstances have a valid </w:t>
      </w:r>
      <w:proofErr w:type="spellStart"/>
      <w:r w:rsidR="001D0355" w:rsidRPr="001D0355">
        <w:rPr>
          <w:i/>
          <w:iCs/>
        </w:rPr>
        <w:t>sur</w:t>
      </w:r>
      <w:proofErr w:type="spellEnd"/>
      <w:r w:rsidR="001D0355" w:rsidRPr="001D0355">
        <w:rPr>
          <w:i/>
          <w:iCs/>
        </w:rPr>
        <w:t xml:space="preserve"> place </w:t>
      </w:r>
      <w:r w:rsidR="001D0355" w:rsidRPr="001D0355">
        <w:t>claim have it appropriately adjudicated,</w:t>
      </w:r>
      <w:r w:rsidR="001D0355">
        <w:t xml:space="preserve"> </w:t>
      </w:r>
      <w:r w:rsidR="001D0355" w:rsidRPr="001D0355">
        <w:t>enabling them to benefit from protection and entitlements flowing from refugee recognition.</w:t>
      </w:r>
      <w:r w:rsidR="001D0355">
        <w:t>”</w:t>
      </w:r>
    </w:p>
    <w:bookmarkStart w:id="32" w:name="COO3UNHCR1Jul14"/>
    <w:p w:rsidR="00620830" w:rsidRDefault="00DB15AD" w:rsidP="00620830">
      <w:pPr>
        <w:pStyle w:val="ECHRPara"/>
      </w:pPr>
      <w:r>
        <w:fldChar w:fldCharType="begin"/>
      </w:r>
      <w:r>
        <w:instrText xml:space="preserve"> SEQ level0 \*arabic </w:instrText>
      </w:r>
      <w:r>
        <w:fldChar w:fldCharType="separate"/>
      </w:r>
      <w:r w:rsidR="00D21AD2">
        <w:rPr>
          <w:noProof/>
        </w:rPr>
        <w:t>78</w:t>
      </w:r>
      <w:r>
        <w:fldChar w:fldCharType="end"/>
      </w:r>
      <w:bookmarkEnd w:id="32"/>
      <w:r>
        <w:t>.  </w:t>
      </w:r>
      <w:r w:rsidR="00F902F7">
        <w:t xml:space="preserve">The </w:t>
      </w:r>
      <w:r w:rsidR="00620830">
        <w:t xml:space="preserve">UNHCR </w:t>
      </w:r>
      <w:r w:rsidR="00F902F7">
        <w:t>r</w:t>
      </w:r>
      <w:r w:rsidR="00620830">
        <w:t xml:space="preserve">eport of 1 July 2014 </w:t>
      </w:r>
      <w:r w:rsidR="00F902F7">
        <w:t xml:space="preserve">entitled </w:t>
      </w:r>
      <w:r w:rsidR="009A35D9">
        <w:t>“</w:t>
      </w:r>
      <w:r w:rsidR="00620830" w:rsidRPr="00DA5CB8">
        <w:t>Syrian Refugees in Europe: What Europe Can Do to Ensure Protection and Solidarity</w:t>
      </w:r>
      <w:r w:rsidR="009A35D9">
        <w:t>”</w:t>
      </w:r>
      <w:r w:rsidR="00620830">
        <w:rPr>
          <w:i/>
        </w:rPr>
        <w:t xml:space="preserve"> </w:t>
      </w:r>
      <w:r w:rsidR="00620830">
        <w:t>says:</w:t>
      </w:r>
    </w:p>
    <w:p w:rsidR="00620830" w:rsidRDefault="00620830" w:rsidP="00620830">
      <w:pPr>
        <w:pStyle w:val="ECHRParaQuote"/>
      </w:pPr>
      <w:r>
        <w:t>“</w:t>
      </w:r>
      <w:r w:rsidRPr="005A548E">
        <w:t>The conflict in Syria has now entered its fourth year, and as the humanitarian situation</w:t>
      </w:r>
      <w:r>
        <w:t xml:space="preserve"> </w:t>
      </w:r>
      <w:r w:rsidRPr="005A548E">
        <w:t>continues to deteriorate, the number of people forcibly displaced has reached</w:t>
      </w:r>
      <w:r>
        <w:t xml:space="preserve"> </w:t>
      </w:r>
      <w:r w:rsidRPr="005A548E">
        <w:t>record levels. More than 2.8 million refugees are registered or awaiting registration</w:t>
      </w:r>
      <w:r>
        <w:t xml:space="preserve"> </w:t>
      </w:r>
      <w:r w:rsidRPr="005A548E">
        <w:t>in Egypt, Iraq, Jordan, Lebanon and Turkey, and over 6.5 million people are</w:t>
      </w:r>
      <w:r>
        <w:t xml:space="preserve"> </w:t>
      </w:r>
      <w:r w:rsidRPr="005A548E">
        <w:t>internally displaced in Syria. It is one of the largest humanitarian crises in recent</w:t>
      </w:r>
      <w:r>
        <w:t xml:space="preserve"> </w:t>
      </w:r>
      <w:r w:rsidRPr="005A548E">
        <w:t>history and more support will be needed as the countries hosting the vast majority</w:t>
      </w:r>
      <w:r>
        <w:t xml:space="preserve"> </w:t>
      </w:r>
      <w:r w:rsidRPr="005A548E">
        <w:t>of refugees struggle to deal with the impact of caring for so many.</w:t>
      </w:r>
      <w:r>
        <w:t xml:space="preserve"> </w:t>
      </w:r>
      <w:r w:rsidR="009179EF">
        <w:t>...</w:t>
      </w:r>
    </w:p>
    <w:p w:rsidR="00620830" w:rsidRDefault="00620830" w:rsidP="00620830">
      <w:pPr>
        <w:pStyle w:val="ECHRParaQuote"/>
      </w:pPr>
      <w:r w:rsidRPr="00620830">
        <w:t>Although, as noted, the responses and practices in relation to Syrians arriving in</w:t>
      </w:r>
      <w:r>
        <w:t xml:space="preserve"> </w:t>
      </w:r>
      <w:r w:rsidRPr="00620830">
        <w:t>Europe have varied, some key trends can be identified. UNHCR has welcomed the</w:t>
      </w:r>
      <w:r>
        <w:t xml:space="preserve"> </w:t>
      </w:r>
      <w:r w:rsidRPr="00620830">
        <w:t>positive protection practices of many European States with respect to Syrian nationals,</w:t>
      </w:r>
      <w:r>
        <w:t xml:space="preserve"> </w:t>
      </w:r>
      <w:r w:rsidRPr="00620830">
        <w:t xml:space="preserve">including </w:t>
      </w:r>
      <w:proofErr w:type="gramStart"/>
      <w:r w:rsidRPr="00620830">
        <w:t xml:space="preserve">a </w:t>
      </w:r>
      <w:r w:rsidRPr="008A7596">
        <w:rPr>
          <w:i/>
        </w:rPr>
        <w:t>de facto</w:t>
      </w:r>
      <w:r w:rsidRPr="00620830">
        <w:t xml:space="preserve"> </w:t>
      </w:r>
      <w:r w:rsidRPr="008A7596">
        <w:t>moratoria</w:t>
      </w:r>
      <w:proofErr w:type="gramEnd"/>
      <w:r w:rsidRPr="00620830">
        <w:t xml:space="preserve"> on returns to Syria, the decision to process Syrian</w:t>
      </w:r>
      <w:r>
        <w:t xml:space="preserve"> </w:t>
      </w:r>
      <w:r w:rsidRPr="00620830">
        <w:t>claims in most countries, and high protection rates.</w:t>
      </w:r>
      <w:r w:rsidR="001242A2">
        <w:t xml:space="preserve"> </w:t>
      </w:r>
      <w:r w:rsidR="009179EF">
        <w:t>...</w:t>
      </w:r>
    </w:p>
    <w:p w:rsidR="00C92AB4" w:rsidRDefault="00C92AB4" w:rsidP="00C92AB4">
      <w:pPr>
        <w:pStyle w:val="ECHRParaQuote"/>
        <w:rPr>
          <w:rFonts w:ascii="MinionPro-Regular" w:eastAsiaTheme="minorHAnsi" w:hAnsi="MinionPro-Regular" w:cs="MinionPro-Regular"/>
          <w:szCs w:val="20"/>
        </w:rPr>
      </w:pPr>
      <w:r>
        <w:rPr>
          <w:rFonts w:ascii="MinionPro-Regular" w:eastAsiaTheme="minorHAnsi" w:hAnsi="MinionPro-Regular" w:cs="MinionPro-Regular"/>
          <w:szCs w:val="20"/>
        </w:rPr>
        <w:t xml:space="preserve">The protection and humanitarian situation of Palestinian refugees in Syria has continued to deteriorate, as nearly all the areas hosting large numbers of Palestinian refugees are directly affected by the conflict. Prior to the conflict, approximately 540,000 Palestine </w:t>
      </w:r>
      <w:r w:rsidRPr="00C92AB4">
        <w:t>refugees</w:t>
      </w:r>
      <w:r>
        <w:rPr>
          <w:rFonts w:ascii="MinionPro-Regular" w:eastAsiaTheme="minorHAnsi" w:hAnsi="MinionPro-Regular" w:cs="MinionPro-Regular"/>
          <w:szCs w:val="20"/>
        </w:rPr>
        <w:t xml:space="preserve"> were in Syria. UNRWA estimates </w:t>
      </w:r>
      <w:r w:rsidRPr="00C92AB4">
        <w:t>that</w:t>
      </w:r>
      <w:r>
        <w:rPr>
          <w:rFonts w:ascii="MinionPro-Regular" w:eastAsiaTheme="minorHAnsi" w:hAnsi="MinionPro-Regular" w:cs="MinionPro-Regular"/>
          <w:szCs w:val="20"/>
        </w:rPr>
        <w:t xml:space="preserve"> 63 </w:t>
      </w:r>
      <w:proofErr w:type="spellStart"/>
      <w:r>
        <w:rPr>
          <w:rFonts w:ascii="MinionPro-Regular" w:eastAsiaTheme="minorHAnsi" w:hAnsi="MinionPro-Regular" w:cs="MinionPro-Regular"/>
          <w:szCs w:val="20"/>
        </w:rPr>
        <w:t>percent</w:t>
      </w:r>
      <w:proofErr w:type="spellEnd"/>
      <w:r>
        <w:rPr>
          <w:rFonts w:ascii="MinionPro-Regular" w:eastAsiaTheme="minorHAnsi" w:hAnsi="MinionPro-Regular" w:cs="MinionPro-Regular"/>
          <w:szCs w:val="20"/>
        </w:rPr>
        <w:t xml:space="preserve"> of registered Palestinian refugees have been displaced either in Syria or to neighbouring countries.</w:t>
      </w:r>
      <w:r>
        <w:rPr>
          <w:rFonts w:ascii="MinionPro-Regular" w:eastAsiaTheme="minorHAnsi" w:hAnsi="MinionPro-Regular" w:cs="MinionPro-Regular"/>
          <w:sz w:val="12"/>
          <w:szCs w:val="12"/>
        </w:rPr>
        <w:t xml:space="preserve"> </w:t>
      </w:r>
      <w:r>
        <w:rPr>
          <w:rFonts w:ascii="MinionPro-Regular" w:eastAsiaTheme="minorHAnsi" w:hAnsi="MinionPro-Regular" w:cs="MinionPro-Regular"/>
          <w:szCs w:val="20"/>
        </w:rPr>
        <w:t>UNHCR has characterized the flight of civilians from Syria as a refugee movement and considers that Palestinian refugees who had their former habitual residence in Syria require international protection.</w:t>
      </w:r>
      <w:r w:rsidR="001242A2">
        <w:rPr>
          <w:rFonts w:ascii="MinionPro-Regular" w:eastAsiaTheme="minorHAnsi" w:hAnsi="MinionPro-Regular" w:cs="MinionPro-Regular"/>
          <w:szCs w:val="20"/>
        </w:rPr>
        <w:t>”</w:t>
      </w:r>
    </w:p>
    <w:bookmarkStart w:id="33" w:name="COO3HRW31Jan14"/>
    <w:p w:rsidR="008B62C7" w:rsidRDefault="008B62C7" w:rsidP="008B62C7">
      <w:pPr>
        <w:pStyle w:val="ECHRPara"/>
      </w:pPr>
      <w:r>
        <w:fldChar w:fldCharType="begin"/>
      </w:r>
      <w:r>
        <w:instrText xml:space="preserve"> SEQ level0 \*arabic </w:instrText>
      </w:r>
      <w:r>
        <w:fldChar w:fldCharType="separate"/>
      </w:r>
      <w:r w:rsidR="00D21AD2">
        <w:rPr>
          <w:noProof/>
        </w:rPr>
        <w:t>79</w:t>
      </w:r>
      <w:r>
        <w:fldChar w:fldCharType="end"/>
      </w:r>
      <w:bookmarkEnd w:id="33"/>
      <w:r>
        <w:t>.  The Human Rights Watch World Report 2014 (</w:t>
      </w:r>
      <w:r w:rsidR="00815628">
        <w:t>31 January 2014) reported</w:t>
      </w:r>
      <w:r>
        <w:t xml:space="preserve"> on Syria:</w:t>
      </w:r>
    </w:p>
    <w:p w:rsidR="008B62C7" w:rsidRDefault="008B62C7" w:rsidP="008B62C7">
      <w:pPr>
        <w:pStyle w:val="ECHRParaQuote"/>
      </w:pPr>
      <w:r>
        <w:t>“</w:t>
      </w:r>
      <w:r w:rsidRPr="008B62C7">
        <w:t>Since the beginning of the uprising security forces have subjected tens of thousands</w:t>
      </w:r>
      <w:r>
        <w:t xml:space="preserve"> </w:t>
      </w:r>
      <w:r w:rsidRPr="008B62C7">
        <w:t>of people to arbitrary arrests, unlawful detentions, enforced disappearances,</w:t>
      </w:r>
      <w:r>
        <w:t xml:space="preserve"> </w:t>
      </w:r>
      <w:r w:rsidRPr="008B62C7">
        <w:t xml:space="preserve">ill-treatment, and torture using an </w:t>
      </w:r>
      <w:r w:rsidRPr="008B62C7">
        <w:rPr>
          <w:rFonts w:ascii="MinionPro-Regular" w:eastAsiaTheme="minorHAnsi" w:hAnsi="MinionPro-Regular" w:cs="MinionPro-Regular"/>
          <w:szCs w:val="20"/>
        </w:rPr>
        <w:t>extensive</w:t>
      </w:r>
      <w:r w:rsidRPr="008B62C7">
        <w:t xml:space="preserve"> network of detention facilities</w:t>
      </w:r>
      <w:r>
        <w:t xml:space="preserve"> </w:t>
      </w:r>
      <w:r w:rsidRPr="008B62C7">
        <w:t>throughout Syria. Many detainees were young men in their 20s or 30s; but</w:t>
      </w:r>
      <w:r>
        <w:t xml:space="preserve"> </w:t>
      </w:r>
      <w:r w:rsidRPr="008B62C7">
        <w:t>children, women, and elderly people were also detained.</w:t>
      </w:r>
      <w:r w:rsidR="00815628">
        <w:t>”</w:t>
      </w:r>
    </w:p>
    <w:bookmarkStart w:id="34" w:name="COO4UKHODec14"/>
    <w:p w:rsidR="00751F40" w:rsidRDefault="00751F40" w:rsidP="00751F40">
      <w:pPr>
        <w:pStyle w:val="ECHRPara"/>
      </w:pPr>
      <w:r>
        <w:fldChar w:fldCharType="begin"/>
      </w:r>
      <w:r>
        <w:instrText xml:space="preserve"> SEQ level0 \*arabic </w:instrText>
      </w:r>
      <w:r>
        <w:fldChar w:fldCharType="separate"/>
      </w:r>
      <w:r w:rsidR="00D21AD2">
        <w:rPr>
          <w:noProof/>
        </w:rPr>
        <w:t>80</w:t>
      </w:r>
      <w:r>
        <w:fldChar w:fldCharType="end"/>
      </w:r>
      <w:bookmarkEnd w:id="34"/>
      <w:r>
        <w:t xml:space="preserve">.  The </w:t>
      </w:r>
      <w:r w:rsidR="009A35D9">
        <w:t>report “</w:t>
      </w:r>
      <w:r w:rsidRPr="00DA5CB8">
        <w:rPr>
          <w:bCs/>
        </w:rPr>
        <w:t>Country Information and Guidance</w:t>
      </w:r>
      <w:r w:rsidR="00F902F7" w:rsidRPr="00DA5CB8">
        <w:rPr>
          <w:b/>
          <w:bCs/>
        </w:rPr>
        <w:t>,</w:t>
      </w:r>
      <w:r w:rsidRPr="00DA5CB8">
        <w:rPr>
          <w:b/>
          <w:bCs/>
        </w:rPr>
        <w:t xml:space="preserve"> </w:t>
      </w:r>
      <w:r w:rsidRPr="00DA5CB8">
        <w:t>Syria: Security and humanitarian situation</w:t>
      </w:r>
      <w:r w:rsidR="009A35D9">
        <w:t>”</w:t>
      </w:r>
      <w:r>
        <w:t xml:space="preserve"> published by the UK Home Office in December 2014 states:</w:t>
      </w:r>
    </w:p>
    <w:p w:rsidR="009E1BDD" w:rsidRDefault="00751F40" w:rsidP="00751F40">
      <w:pPr>
        <w:pStyle w:val="ECHRParaQuote"/>
      </w:pPr>
      <w:r>
        <w:lastRenderedPageBreak/>
        <w:t>“</w:t>
      </w:r>
      <w:r w:rsidRPr="00751F40">
        <w:rPr>
          <w:bCs/>
        </w:rPr>
        <w:t>1</w:t>
      </w:r>
      <w:r w:rsidRPr="00751F40">
        <w:t>.4 Policy Summary</w:t>
      </w:r>
    </w:p>
    <w:p w:rsidR="009E1BDD" w:rsidRDefault="008A7596" w:rsidP="00823470">
      <w:pPr>
        <w:pStyle w:val="ECHRParaQuote"/>
        <w:ind w:left="567" w:firstLine="0"/>
      </w:pPr>
      <w:r>
        <w:t>Case-</w:t>
      </w:r>
      <w:r w:rsidRPr="00751F40">
        <w:t>law</w:t>
      </w:r>
      <w:r w:rsidR="00751F40" w:rsidRPr="00751F40">
        <w:t xml:space="preserve"> has established that it is likely that a failed asylum seeker or forced returnee would, in general, on return to Syria face a real risk of arrest and detention and of serious mistreatment during that detention as a result of imputed political opinion. The position might be otherwise in the case of someone who, notwithstanding a failed claim for asylum, would still be perceived on return to Syria as a supporter of the Assad regime.</w:t>
      </w:r>
    </w:p>
    <w:p w:rsidR="009E1BDD" w:rsidRDefault="00751F40" w:rsidP="00823470">
      <w:pPr>
        <w:pStyle w:val="ECHRParaQuote"/>
        <w:ind w:left="567" w:firstLine="0"/>
      </w:pPr>
      <w:r w:rsidRPr="00751F40">
        <w:t>Most Syrian nationals are therefore likely to qualify for refugee protection unless excluded.</w:t>
      </w:r>
    </w:p>
    <w:p w:rsidR="009E1BDD" w:rsidRDefault="00751F40" w:rsidP="00823470">
      <w:pPr>
        <w:pStyle w:val="ECHRParaQuote"/>
        <w:ind w:left="567" w:firstLine="0"/>
      </w:pPr>
      <w:r w:rsidRPr="00751F40">
        <w:t>Where a person is excluded from refugee protection they will also be excluded from Humanitarian Protection but may be entitled to Discretionary leave or Restricted Leave.</w:t>
      </w:r>
    </w:p>
    <w:p w:rsidR="009E1BDD" w:rsidRDefault="00751F40" w:rsidP="00823470">
      <w:pPr>
        <w:pStyle w:val="ECHRParaQuote"/>
        <w:ind w:left="567" w:firstLine="0"/>
      </w:pPr>
      <w:r w:rsidRPr="00751F40">
        <w:t>The humanitarian crisis, which continues to deteriorate, is such that for most returnees removal would be a breach of Article 3 ECHR.</w:t>
      </w:r>
    </w:p>
    <w:p w:rsidR="00751F40" w:rsidRPr="00751F40" w:rsidRDefault="00751F40" w:rsidP="00823470">
      <w:pPr>
        <w:pStyle w:val="ECHRParaQuote"/>
        <w:ind w:left="567" w:firstLine="0"/>
      </w:pPr>
      <w:r w:rsidRPr="00751F40">
        <w:t xml:space="preserve">The level of indiscriminate violence in the main cities and areas of fighting in Syria is at such a level that substantial grounds exist for believing that a person, solely by being present there for any length of time, faces a real risk of harm which </w:t>
      </w:r>
      <w:r w:rsidR="007466B5">
        <w:t>threatens their life or person.</w:t>
      </w:r>
    </w:p>
    <w:p w:rsidR="00751F40" w:rsidRPr="00751F40" w:rsidRDefault="00751F40" w:rsidP="00823470">
      <w:pPr>
        <w:pStyle w:val="ECHRParaQuote"/>
        <w:ind w:left="567" w:firstLine="0"/>
      </w:pPr>
      <w:r w:rsidRPr="00815D42">
        <w:t xml:space="preserve">Internal relocation within Syria to escape any risk from indiscriminate violence is extremely unlikely to be possible or reasonable because of the highly limited ability to move, and move safely, from one part of Syria to another part of the country and the unpredictability of the violence in areas of proposed relocation coupled with the humanitarian situation </w:t>
      </w:r>
      <w:r w:rsidR="00815D42">
        <w:t>for those internally displaced.”</w:t>
      </w:r>
    </w:p>
    <w:bookmarkStart w:id="35" w:name="COO5SGUNRep19Feb15"/>
    <w:p w:rsidR="00823470" w:rsidRDefault="00823470" w:rsidP="00823470">
      <w:pPr>
        <w:pStyle w:val="ECHRPara"/>
        <w:rPr>
          <w:rFonts w:ascii="Times New Roman" w:eastAsia="Times New Roman" w:hAnsi="Times New Roman" w:cs="Times New Roman"/>
          <w:szCs w:val="24"/>
        </w:rPr>
      </w:pPr>
      <w:r>
        <w:fldChar w:fldCharType="begin"/>
      </w:r>
      <w:r>
        <w:instrText xml:space="preserve"> SEQ level0 \*arabic </w:instrText>
      </w:r>
      <w:r>
        <w:fldChar w:fldCharType="separate"/>
      </w:r>
      <w:r w:rsidR="00D21AD2">
        <w:rPr>
          <w:noProof/>
        </w:rPr>
        <w:t>81</w:t>
      </w:r>
      <w:r>
        <w:fldChar w:fldCharType="end"/>
      </w:r>
      <w:bookmarkEnd w:id="35"/>
      <w:r>
        <w:t>.  I</w:t>
      </w:r>
      <w:r w:rsidRPr="006E4F64">
        <w:t>n his twelfth report issued on 19 February 2015 on the implementation of Security Council resolutions 2139 (2014), 2165 (2014) and 2191 (2104) on Syria, the Secretary</w:t>
      </w:r>
      <w:r w:rsidRPr="006E4F64">
        <w:noBreakHyphen/>
        <w:t xml:space="preserve">General of the United Nations observed, </w:t>
      </w:r>
      <w:r w:rsidRPr="006E4F64">
        <w:rPr>
          <w:i/>
        </w:rPr>
        <w:t>inter alia</w:t>
      </w:r>
      <w:r w:rsidRPr="006E4F64">
        <w:t xml:space="preserve">, that widespread conflict </w:t>
      </w:r>
      <w:r w:rsidRPr="006E4F64">
        <w:rPr>
          <w:rFonts w:ascii="Times New Roman" w:eastAsia="Times New Roman" w:hAnsi="Times New Roman" w:cs="Times New Roman"/>
          <w:szCs w:val="24"/>
        </w:rPr>
        <w:t>and high levels of violence continued throughout the country and that the conduct of</w:t>
      </w:r>
      <w:r w:rsidR="00F902F7">
        <w:rPr>
          <w:rFonts w:ascii="Times New Roman" w:eastAsia="Times New Roman" w:hAnsi="Times New Roman" w:cs="Times New Roman"/>
          <w:szCs w:val="24"/>
        </w:rPr>
        <w:t xml:space="preserve"> the</w:t>
      </w:r>
      <w:r w:rsidRPr="006E4F64">
        <w:rPr>
          <w:rFonts w:ascii="Times New Roman" w:eastAsia="Times New Roman" w:hAnsi="Times New Roman" w:cs="Times New Roman"/>
          <w:szCs w:val="24"/>
        </w:rPr>
        <w:t xml:space="preserve"> hostilities by all parties continued to be characterised by </w:t>
      </w:r>
      <w:r w:rsidR="00F902F7">
        <w:rPr>
          <w:rFonts w:ascii="Times New Roman" w:eastAsia="Times New Roman" w:hAnsi="Times New Roman" w:cs="Times New Roman"/>
          <w:szCs w:val="24"/>
        </w:rPr>
        <w:t xml:space="preserve">a </w:t>
      </w:r>
      <w:r w:rsidRPr="006E4F64">
        <w:rPr>
          <w:rFonts w:ascii="Times New Roman" w:eastAsia="Times New Roman" w:hAnsi="Times New Roman" w:cs="Times New Roman"/>
          <w:szCs w:val="24"/>
        </w:rPr>
        <w:t>widespread disregard for the rules of international humanitarian law and the protection of civilians.</w:t>
      </w:r>
    </w:p>
    <w:p w:rsidR="00C55CE6" w:rsidRPr="00943B86" w:rsidRDefault="00965E4D" w:rsidP="00943B86">
      <w:pPr>
        <w:pStyle w:val="ECHRHeading1"/>
        <w:tabs>
          <w:tab w:val="clear" w:pos="357"/>
        </w:tabs>
        <w:ind w:left="426" w:hanging="426"/>
      </w:pPr>
      <w:r w:rsidRPr="00943B86">
        <w:t>IV.</w:t>
      </w:r>
      <w:proofErr w:type="gramStart"/>
      <w:r w:rsidRPr="00943B86">
        <w:t>  </w:t>
      </w:r>
      <w:r w:rsidR="002A7832" w:rsidRPr="00943B86">
        <w:t>INFORMATION</w:t>
      </w:r>
      <w:proofErr w:type="gramEnd"/>
      <w:r w:rsidR="002A7832" w:rsidRPr="00943B86">
        <w:t xml:space="preserve"> DOCUMENT ABOUT EXECUTION OF THE JUDGMENT IN </w:t>
      </w:r>
      <w:r w:rsidR="002A7832" w:rsidRPr="00916133">
        <w:rPr>
          <w:i/>
        </w:rPr>
        <w:t>KIM V. RUSSIA</w:t>
      </w:r>
      <w:r w:rsidR="002A7832" w:rsidRPr="00943B86">
        <w:t xml:space="preserve"> </w:t>
      </w:r>
      <w:r w:rsidR="00D41FFD" w:rsidRPr="00943B86">
        <w:t>(No</w:t>
      </w:r>
      <w:r w:rsidR="002A7832" w:rsidRPr="00943B86">
        <w:t>. 44260/13)</w:t>
      </w:r>
    </w:p>
    <w:p w:rsidR="00682B36" w:rsidRPr="00986709" w:rsidRDefault="00682B36" w:rsidP="00965E4D">
      <w:pPr>
        <w:pStyle w:val="ECHRPara"/>
      </w:pPr>
      <w:r w:rsidRPr="00986709">
        <w:fldChar w:fldCharType="begin"/>
      </w:r>
      <w:r w:rsidRPr="00986709">
        <w:instrText xml:space="preserve"> SEQ level0 \*arabic </w:instrText>
      </w:r>
      <w:r w:rsidRPr="00986709">
        <w:fldChar w:fldCharType="separate"/>
      </w:r>
      <w:r w:rsidR="00D21AD2">
        <w:rPr>
          <w:noProof/>
        </w:rPr>
        <w:t>82</w:t>
      </w:r>
      <w:r w:rsidRPr="00986709">
        <w:fldChar w:fldCharType="end"/>
      </w:r>
      <w:r w:rsidRPr="00986709">
        <w:t>.  </w:t>
      </w:r>
      <w:r w:rsidR="009A35D9">
        <w:t>A document entitled “</w:t>
      </w:r>
      <w:r w:rsidRPr="00986709">
        <w:t xml:space="preserve">Communication from the Russian Federation concerning the case of </w:t>
      </w:r>
      <w:r w:rsidRPr="00DA5CB8">
        <w:t>Kim against Russian Federation</w:t>
      </w:r>
      <w:r w:rsidRPr="009A35D9">
        <w:t xml:space="preserve"> (Application</w:t>
      </w:r>
      <w:r w:rsidR="00943B86">
        <w:t xml:space="preserve"> </w:t>
      </w:r>
      <w:r w:rsidR="00D41FFD">
        <w:t>n</w:t>
      </w:r>
      <w:r w:rsidRPr="009A35D9">
        <w:t>o.</w:t>
      </w:r>
      <w:r w:rsidR="00965E4D">
        <w:t> </w:t>
      </w:r>
      <w:r w:rsidRPr="009A35D9">
        <w:t>44260/13) DH-</w:t>
      </w:r>
      <w:proofErr w:type="gramStart"/>
      <w:r w:rsidRPr="009A35D9">
        <w:t>DD(</w:t>
      </w:r>
      <w:proofErr w:type="gramEnd"/>
      <w:r w:rsidRPr="009A35D9">
        <w:t>2015)527</w:t>
      </w:r>
      <w:r w:rsidR="009A35D9">
        <w:t>”</w:t>
      </w:r>
      <w:r w:rsidRPr="00986709">
        <w:t xml:space="preserve"> contained an </w:t>
      </w:r>
      <w:r w:rsidR="00A37CB8">
        <w:t>a</w:t>
      </w:r>
      <w:r w:rsidRPr="00986709">
        <w:t xml:space="preserve">ction plan aimed at execution of the judgment which had found a breach of Article 3 </w:t>
      </w:r>
      <w:r w:rsidR="00520B10">
        <w:t xml:space="preserve">and </w:t>
      </w:r>
      <w:r w:rsidR="00520B10" w:rsidRPr="00986709">
        <w:t>Article</w:t>
      </w:r>
      <w:r w:rsidR="00943B86">
        <w:t> </w:t>
      </w:r>
      <w:r w:rsidR="00520B10" w:rsidRPr="00986709">
        <w:t xml:space="preserve">5 § 1 (f) and </w:t>
      </w:r>
      <w:r w:rsidR="00117413">
        <w:t xml:space="preserve">5 </w:t>
      </w:r>
      <w:r w:rsidR="00117413">
        <w:rPr>
          <w:rFonts w:cstheme="minorHAnsi"/>
        </w:rPr>
        <w:t>§</w:t>
      </w:r>
      <w:r w:rsidR="00117413">
        <w:t xml:space="preserve"> </w:t>
      </w:r>
      <w:r w:rsidR="00520B10" w:rsidRPr="00986709">
        <w:t xml:space="preserve">4 </w:t>
      </w:r>
      <w:r w:rsidR="00A37CB8">
        <w:t>on account of</w:t>
      </w:r>
      <w:r w:rsidR="00A37CB8" w:rsidRPr="00986709">
        <w:t xml:space="preserve"> </w:t>
      </w:r>
      <w:r w:rsidRPr="00986709">
        <w:t>the conditions of detention</w:t>
      </w:r>
      <w:r w:rsidR="00520B10">
        <w:t xml:space="preserve">, </w:t>
      </w:r>
      <w:r w:rsidRPr="00986709">
        <w:t xml:space="preserve">detention </w:t>
      </w:r>
      <w:r w:rsidR="00520B10">
        <w:t xml:space="preserve">itself </w:t>
      </w:r>
      <w:r w:rsidRPr="00986709">
        <w:t xml:space="preserve">and </w:t>
      </w:r>
      <w:r w:rsidR="00520B10">
        <w:t xml:space="preserve">the </w:t>
      </w:r>
      <w:r w:rsidRPr="00986709">
        <w:t>absence of review during</w:t>
      </w:r>
      <w:r w:rsidR="00A37CB8">
        <w:t xml:space="preserve"> the</w:t>
      </w:r>
      <w:r w:rsidRPr="00986709">
        <w:t xml:space="preserve"> two years pending </w:t>
      </w:r>
      <w:r w:rsidR="00520B10">
        <w:t xml:space="preserve">the applicant </w:t>
      </w:r>
      <w:r w:rsidR="00521445">
        <w:t>R.A. Kim</w:t>
      </w:r>
      <w:r w:rsidR="00BA3D89">
        <w:t>’</w:t>
      </w:r>
      <w:r w:rsidR="00521445">
        <w:t>s</w:t>
      </w:r>
      <w:r w:rsidR="00521445" w:rsidRPr="00986709">
        <w:t xml:space="preserve"> </w:t>
      </w:r>
      <w:r w:rsidRPr="00986709">
        <w:t xml:space="preserve">expulsion. The Government indicated that the judgment had been translated into Russian and placed on several professional portals, including that of the Prosecutor </w:t>
      </w:r>
      <w:r w:rsidR="00A37CB8" w:rsidRPr="00986709">
        <w:t>General</w:t>
      </w:r>
      <w:r w:rsidR="00BA3D89">
        <w:t>’</w:t>
      </w:r>
      <w:r w:rsidR="00A37CB8">
        <w:t>s</w:t>
      </w:r>
      <w:r w:rsidR="00A37CB8" w:rsidRPr="00986709">
        <w:t xml:space="preserve"> </w:t>
      </w:r>
      <w:r w:rsidRPr="00986709">
        <w:t>Office, Ministry of the Interior and the Russian Supreme Court</w:t>
      </w:r>
      <w:r w:rsidR="00BA3D89">
        <w:t>’</w:t>
      </w:r>
      <w:r w:rsidR="00A37CB8">
        <w:t>s intranet site</w:t>
      </w:r>
      <w:r w:rsidRPr="00986709">
        <w:t xml:space="preserve">, thus making it available to all the judges of </w:t>
      </w:r>
      <w:r w:rsidR="00A37CB8">
        <w:t xml:space="preserve">general jurisdiction in </w:t>
      </w:r>
      <w:r w:rsidRPr="00986709">
        <w:t xml:space="preserve">the Russian </w:t>
      </w:r>
      <w:r w:rsidRPr="00986709">
        <w:lastRenderedPageBreak/>
        <w:t xml:space="preserve">Federation. </w:t>
      </w:r>
      <w:r w:rsidR="00C062BD" w:rsidRPr="00986709">
        <w:t>The possibility of legislative amendments would b</w:t>
      </w:r>
      <w:r w:rsidR="00965E4D">
        <w:t>e considered in December 2015.</w:t>
      </w:r>
    </w:p>
    <w:p w:rsidR="00014566" w:rsidRPr="00943B86" w:rsidRDefault="00014566" w:rsidP="00943B86">
      <w:pPr>
        <w:pStyle w:val="ECHRTitle1"/>
      </w:pPr>
      <w:r w:rsidRPr="00943B86">
        <w:t>THE LAW</w:t>
      </w:r>
    </w:p>
    <w:p w:rsidR="00CE217D" w:rsidRPr="00CE217D" w:rsidRDefault="00014566" w:rsidP="00CE217D">
      <w:pPr>
        <w:pStyle w:val="ECHRHeading1"/>
      </w:pPr>
      <w:r w:rsidRPr="00062973">
        <w:t>I.  </w:t>
      </w:r>
      <w:r w:rsidR="00CE217D" w:rsidRPr="00CE217D">
        <w:t>JOINDER OF THE APPLICATIONS</w:t>
      </w:r>
    </w:p>
    <w:p w:rsidR="00CE217D" w:rsidRPr="00CE217D" w:rsidRDefault="00CE217D" w:rsidP="00CE217D">
      <w:pPr>
        <w:pStyle w:val="ECHRPara"/>
        <w:rPr>
          <w:rFonts w:asciiTheme="majorHAnsi" w:eastAsiaTheme="majorEastAsia" w:hAnsiTheme="majorHAnsi" w:cstheme="majorBidi"/>
          <w:bCs/>
          <w:szCs w:val="28"/>
        </w:rPr>
      </w:pPr>
      <w:r>
        <w:fldChar w:fldCharType="begin"/>
      </w:r>
      <w:r>
        <w:instrText xml:space="preserve"> SEQ level0 \*arabic </w:instrText>
      </w:r>
      <w:r>
        <w:fldChar w:fldCharType="separate"/>
      </w:r>
      <w:r w:rsidR="00D21AD2">
        <w:rPr>
          <w:noProof/>
        </w:rPr>
        <w:t>83</w:t>
      </w:r>
      <w:r>
        <w:fldChar w:fldCharType="end"/>
      </w:r>
      <w:r>
        <w:t>.  </w:t>
      </w:r>
      <w:r w:rsidRPr="00CE217D">
        <w:rPr>
          <w:rFonts w:asciiTheme="majorHAnsi" w:eastAsiaTheme="majorEastAsia" w:hAnsiTheme="majorHAnsi" w:cstheme="majorBidi"/>
          <w:bCs/>
          <w:szCs w:val="28"/>
        </w:rPr>
        <w:t>In accordance with Rule 42 § 1 of the Rules of Court, the Court decides to join the applications, given their similar factual and legal background.</w:t>
      </w:r>
    </w:p>
    <w:p w:rsidR="00014566" w:rsidRPr="00062973" w:rsidRDefault="00CE217D" w:rsidP="00014566">
      <w:pPr>
        <w:pStyle w:val="ECHRHeading1"/>
      </w:pPr>
      <w:r>
        <w:t>II.</w:t>
      </w:r>
      <w:proofErr w:type="gramStart"/>
      <w:r>
        <w:t>  </w:t>
      </w:r>
      <w:r w:rsidR="00014566" w:rsidRPr="00062973">
        <w:t>ALLEGED</w:t>
      </w:r>
      <w:proofErr w:type="gramEnd"/>
      <w:r w:rsidR="00014566" w:rsidRPr="00062973">
        <w:t xml:space="preserve"> VIOLATION OF ARTICLE</w:t>
      </w:r>
      <w:r w:rsidR="001C17D3">
        <w:t>S 2</w:t>
      </w:r>
      <w:r w:rsidR="00EB43DF">
        <w:t>, 3</w:t>
      </w:r>
      <w:r w:rsidR="001C17D3">
        <w:t xml:space="preserve"> AND</w:t>
      </w:r>
      <w:r w:rsidR="00014566" w:rsidRPr="00062973">
        <w:t xml:space="preserve"> </w:t>
      </w:r>
      <w:r w:rsidR="00EB43DF">
        <w:t>1</w:t>
      </w:r>
      <w:r w:rsidR="00576E2F">
        <w:t>3</w:t>
      </w:r>
      <w:r w:rsidR="00014566" w:rsidRPr="00062973">
        <w:t xml:space="preserve"> OF THE CONVENTION</w:t>
      </w:r>
      <w:r w:rsidR="00576E2F">
        <w:t xml:space="preserve"> </w:t>
      </w:r>
      <w:r w:rsidR="00D64E07">
        <w:t xml:space="preserve">ON ACCOUNT OF </w:t>
      </w:r>
      <w:r w:rsidR="00576E2F">
        <w:t>THE APPLICANTS</w:t>
      </w:r>
      <w:r w:rsidR="00BA3D89">
        <w:t>’</w:t>
      </w:r>
      <w:r w:rsidR="00576E2F">
        <w:t xml:space="preserve"> </w:t>
      </w:r>
      <w:r w:rsidR="00A119C2">
        <w:t xml:space="preserve">ORDERED </w:t>
      </w:r>
      <w:r w:rsidR="00576E2F">
        <w:t>EXPULSION TO SYRIA</w:t>
      </w:r>
    </w:p>
    <w:p w:rsidR="00014566" w:rsidRDefault="00C94B3B" w:rsidP="00C621C2">
      <w:pPr>
        <w:pStyle w:val="ECHRPara"/>
      </w:pPr>
      <w:r>
        <w:fldChar w:fldCharType="begin"/>
      </w:r>
      <w:r>
        <w:instrText xml:space="preserve"> SEQ level0 \*arabic </w:instrText>
      </w:r>
      <w:r>
        <w:fldChar w:fldCharType="separate"/>
      </w:r>
      <w:r w:rsidR="00D21AD2">
        <w:rPr>
          <w:noProof/>
        </w:rPr>
        <w:t>84</w:t>
      </w:r>
      <w:r>
        <w:fldChar w:fldCharType="end"/>
      </w:r>
      <w:r w:rsidR="00014566" w:rsidRPr="00062973">
        <w:t>.  The applicant</w:t>
      </w:r>
      <w:r w:rsidRPr="00062973">
        <w:t>s</w:t>
      </w:r>
      <w:r w:rsidR="00014566" w:rsidRPr="00062973">
        <w:t xml:space="preserve"> complained that </w:t>
      </w:r>
      <w:r w:rsidR="008E2CCB">
        <w:t>their expulsion to Syria, if carried out, would be in breach</w:t>
      </w:r>
      <w:r w:rsidR="00014566" w:rsidRPr="00062973">
        <w:t xml:space="preserve"> </w:t>
      </w:r>
      <w:r w:rsidR="008E2CCB">
        <w:t xml:space="preserve">of </w:t>
      </w:r>
      <w:r w:rsidR="001C17D3">
        <w:t xml:space="preserve">their right to life and the </w:t>
      </w:r>
      <w:r w:rsidR="008E2CCB">
        <w:t>prohibition o</w:t>
      </w:r>
      <w:r w:rsidR="00825002">
        <w:t>n</w:t>
      </w:r>
      <w:r w:rsidR="008E2CCB">
        <w:t xml:space="preserve"> torture, inhuman and degrading treatment, </w:t>
      </w:r>
      <w:r w:rsidR="00014566" w:rsidRPr="00062973">
        <w:t>as provided in Article</w:t>
      </w:r>
      <w:r w:rsidR="001C17D3">
        <w:t>s 2 and</w:t>
      </w:r>
      <w:r w:rsidR="00014566" w:rsidRPr="00062973">
        <w:t xml:space="preserve"> </w:t>
      </w:r>
      <w:r w:rsidR="008E2CCB">
        <w:t>3</w:t>
      </w:r>
      <w:r w:rsidR="00014566" w:rsidRPr="00062973">
        <w:t xml:space="preserve"> of the Convention</w:t>
      </w:r>
      <w:r w:rsidR="00EB43DF">
        <w:t>. They also stressed that they had no effective domestic remedies in r</w:t>
      </w:r>
      <w:r w:rsidR="00A119C2">
        <w:t>espect of these violations, in b</w:t>
      </w:r>
      <w:r w:rsidR="00EB43DF">
        <w:t>reach of Article 13. The</w:t>
      </w:r>
      <w:r w:rsidR="00825002">
        <w:t xml:space="preserve"> provisions</w:t>
      </w:r>
      <w:r w:rsidR="00014566" w:rsidRPr="00062973">
        <w:t xml:space="preserve"> read as follows</w:t>
      </w:r>
      <w:r w:rsidR="001C17D3">
        <w:t>, in so far as relevant</w:t>
      </w:r>
      <w:r w:rsidR="00014566" w:rsidRPr="00062973">
        <w:t>:</w:t>
      </w:r>
    </w:p>
    <w:p w:rsidR="009E1BDD" w:rsidRDefault="001C17D3" w:rsidP="00943B86">
      <w:pPr>
        <w:pStyle w:val="ECHRTitleCentre3"/>
      </w:pPr>
      <w:r w:rsidRPr="001C17D3">
        <w:t>Article 2</w:t>
      </w:r>
    </w:p>
    <w:p w:rsidR="001C17D3" w:rsidRDefault="001C17D3" w:rsidP="001C17D3">
      <w:pPr>
        <w:pStyle w:val="ECHRParaQuote"/>
      </w:pPr>
      <w:r>
        <w:t>“1.</w:t>
      </w:r>
      <w:proofErr w:type="gramStart"/>
      <w:r>
        <w:t>  Everyone</w:t>
      </w:r>
      <w:r w:rsidR="00BA3D89">
        <w:t>’</w:t>
      </w:r>
      <w:r>
        <w:t>s</w:t>
      </w:r>
      <w:proofErr w:type="gramEnd"/>
      <w:r>
        <w:t xml:space="preserve"> right to life shall be protected by law. ...”</w:t>
      </w:r>
    </w:p>
    <w:p w:rsidR="001C17D3" w:rsidRPr="001C17D3" w:rsidRDefault="001C17D3" w:rsidP="00943B86">
      <w:pPr>
        <w:pStyle w:val="ECHRTitleCentre3"/>
      </w:pPr>
      <w:r w:rsidRPr="001C17D3">
        <w:t>Article 3</w:t>
      </w:r>
    </w:p>
    <w:p w:rsidR="00014566" w:rsidRDefault="008E2CCB" w:rsidP="00014566">
      <w:pPr>
        <w:pStyle w:val="ECHRParaQuote"/>
      </w:pPr>
      <w:r>
        <w:t>“No one shall be subjected to torture or to inhuman or degrading treatment or punishment.”</w:t>
      </w:r>
    </w:p>
    <w:p w:rsidR="00EB43DF" w:rsidRPr="00EB43DF" w:rsidRDefault="00EB43DF" w:rsidP="00943B86">
      <w:pPr>
        <w:pStyle w:val="ECHRTitleCentre3"/>
      </w:pPr>
      <w:r w:rsidRPr="00EB43DF">
        <w:t>Article 13</w:t>
      </w:r>
    </w:p>
    <w:p w:rsidR="00EB43DF" w:rsidRPr="00062973" w:rsidRDefault="00EB43DF" w:rsidP="00014566">
      <w:pPr>
        <w:pStyle w:val="ECHRParaQuote"/>
      </w:pPr>
      <w:r>
        <w:t>“Everyone whose rights and freedoms as set forth in [the] Convention are violated shall have an effective remedy before a national authority notwithstanding that the violation has been committed by persons acting in an official capacity.”</w:t>
      </w:r>
    </w:p>
    <w:p w:rsidR="009E1BDD" w:rsidRDefault="001961D1" w:rsidP="001A7F28">
      <w:pPr>
        <w:pStyle w:val="ECHRHeading2"/>
      </w:pPr>
      <w:r>
        <w:t>A.  </w:t>
      </w:r>
      <w:r w:rsidR="001A7F28">
        <w:t>Arguments of the parties</w:t>
      </w:r>
    </w:p>
    <w:p w:rsidR="009E1BDD" w:rsidRDefault="001961D1" w:rsidP="001A7F28">
      <w:pPr>
        <w:pStyle w:val="ECHRHeading3"/>
      </w:pPr>
      <w:r>
        <w:t>1.  </w:t>
      </w:r>
      <w:r w:rsidR="001A7F28">
        <w:t>The Government</w:t>
      </w:r>
    </w:p>
    <w:p w:rsidR="009E1BDD" w:rsidRDefault="001A7F28" w:rsidP="00C621C2">
      <w:pPr>
        <w:pStyle w:val="ECHRPara"/>
      </w:pPr>
      <w:r>
        <w:fldChar w:fldCharType="begin"/>
      </w:r>
      <w:r>
        <w:instrText xml:space="preserve"> SEQ level0 \*arabic </w:instrText>
      </w:r>
      <w:r>
        <w:fldChar w:fldCharType="separate"/>
      </w:r>
      <w:r w:rsidR="00D21AD2">
        <w:rPr>
          <w:noProof/>
        </w:rPr>
        <w:t>85</w:t>
      </w:r>
      <w:r>
        <w:fldChar w:fldCharType="end"/>
      </w:r>
      <w:r>
        <w:t xml:space="preserve">.  The Government </w:t>
      </w:r>
      <w:r w:rsidR="00D64E07">
        <w:t>claimed</w:t>
      </w:r>
      <w:r>
        <w:t xml:space="preserve"> that the applicants had failed to exhaust domestic remedies. At the time </w:t>
      </w:r>
      <w:r w:rsidR="00D64E07">
        <w:t xml:space="preserve">of lodging </w:t>
      </w:r>
      <w:r>
        <w:t>the</w:t>
      </w:r>
      <w:r w:rsidR="00825002">
        <w:t>ir</w:t>
      </w:r>
      <w:r>
        <w:t xml:space="preserve"> complaints, the</w:t>
      </w:r>
      <w:r w:rsidR="00825002">
        <w:t>ir</w:t>
      </w:r>
      <w:r>
        <w:t xml:space="preserve"> applications for asylum and/or temporary asylum </w:t>
      </w:r>
      <w:r w:rsidR="00D64E07">
        <w:t xml:space="preserve">had </w:t>
      </w:r>
      <w:r>
        <w:t xml:space="preserve">not yet been considered in the final instance. </w:t>
      </w:r>
      <w:r w:rsidR="00825002">
        <w:t>Furthermore, t</w:t>
      </w:r>
      <w:r>
        <w:t>he</w:t>
      </w:r>
      <w:r w:rsidR="003B39F4">
        <w:t>y</w:t>
      </w:r>
      <w:r w:rsidR="00D64E07">
        <w:t xml:space="preserve"> had </w:t>
      </w:r>
      <w:r w:rsidR="00520B10">
        <w:t xml:space="preserve">not </w:t>
      </w:r>
      <w:r w:rsidR="00D64E07">
        <w:t xml:space="preserve">lodged their </w:t>
      </w:r>
      <w:r w:rsidR="00201AA6">
        <w:t>requests</w:t>
      </w:r>
      <w:r w:rsidR="00520B10">
        <w:t xml:space="preserve"> until</w:t>
      </w:r>
      <w:r>
        <w:t xml:space="preserve"> after their arrest for breach</w:t>
      </w:r>
      <w:r w:rsidR="00D64E07">
        <w:t>ing</w:t>
      </w:r>
      <w:r>
        <w:t xml:space="preserve"> immigration rules.</w:t>
      </w:r>
    </w:p>
    <w:p w:rsidR="001A7F28" w:rsidRDefault="00FB0037" w:rsidP="00C621C2">
      <w:pPr>
        <w:pStyle w:val="ECHRPara"/>
      </w:pPr>
      <w:r>
        <w:lastRenderedPageBreak/>
        <w:fldChar w:fldCharType="begin"/>
      </w:r>
      <w:r>
        <w:instrText xml:space="preserve"> SEQ level0 \*arabic </w:instrText>
      </w:r>
      <w:r>
        <w:fldChar w:fldCharType="separate"/>
      </w:r>
      <w:proofErr w:type="gramStart"/>
      <w:r w:rsidR="00D21AD2">
        <w:rPr>
          <w:noProof/>
        </w:rPr>
        <w:t>86</w:t>
      </w:r>
      <w:r>
        <w:fldChar w:fldCharType="end"/>
      </w:r>
      <w:r>
        <w:t>.</w:t>
      </w:r>
      <w:proofErr w:type="gramEnd"/>
      <w:r>
        <w:t>  </w:t>
      </w:r>
      <w:r w:rsidR="001A7F28">
        <w:t>The</w:t>
      </w:r>
      <w:r>
        <w:t xml:space="preserve"> Government </w:t>
      </w:r>
      <w:r w:rsidR="001A7F28">
        <w:t>further argued that during the administrative expulsion proceedings, notably during</w:t>
      </w:r>
      <w:r w:rsidR="00D64E07">
        <w:t xml:space="preserve"> the</w:t>
      </w:r>
      <w:r w:rsidR="001A7F28">
        <w:t xml:space="preserve"> court hearings, the</w:t>
      </w:r>
      <w:r>
        <w:t xml:space="preserve"> applicants</w:t>
      </w:r>
      <w:r w:rsidR="001A7F28">
        <w:t xml:space="preserve"> had </w:t>
      </w:r>
      <w:r w:rsidR="00D64E07">
        <w:t xml:space="preserve">only </w:t>
      </w:r>
      <w:r w:rsidR="001A7F28">
        <w:t>provided general and summary information about the reasons allegedly prevent</w:t>
      </w:r>
      <w:r w:rsidR="001C2419">
        <w:t>ing</w:t>
      </w:r>
      <w:r w:rsidR="001A7F28">
        <w:t xml:space="preserve"> their return.</w:t>
      </w:r>
      <w:r>
        <w:t xml:space="preserve"> The documents to support the claims </w:t>
      </w:r>
      <w:r w:rsidR="003B39F4">
        <w:t>had</w:t>
      </w:r>
      <w:r>
        <w:t xml:space="preserve"> </w:t>
      </w:r>
      <w:r w:rsidR="001C2419">
        <w:t>only</w:t>
      </w:r>
      <w:r w:rsidR="003B39F4">
        <w:t xml:space="preserve"> been</w:t>
      </w:r>
      <w:r w:rsidR="001C2419">
        <w:t xml:space="preserve"> </w:t>
      </w:r>
      <w:r>
        <w:t xml:space="preserve">submitted for the hearing of 27 May 2014 </w:t>
      </w:r>
      <w:r w:rsidR="001C2419">
        <w:t xml:space="preserve">in </w:t>
      </w:r>
      <w:r>
        <w:t xml:space="preserve">the Kaluga Regional Court, and </w:t>
      </w:r>
      <w:r w:rsidR="003B39F4">
        <w:t>had</w:t>
      </w:r>
      <w:r>
        <w:t xml:space="preserve"> either </w:t>
      </w:r>
      <w:r w:rsidR="003B39F4">
        <w:t xml:space="preserve">been </w:t>
      </w:r>
      <w:proofErr w:type="spellStart"/>
      <w:r>
        <w:t>outdated</w:t>
      </w:r>
      <w:proofErr w:type="spellEnd"/>
      <w:r>
        <w:t>,</w:t>
      </w:r>
      <w:r w:rsidR="001C2419">
        <w:t xml:space="preserve"> such</w:t>
      </w:r>
      <w:r>
        <w:t xml:space="preserve"> as </w:t>
      </w:r>
      <w:r w:rsidR="001C2419">
        <w:t xml:space="preserve">“Update I” of December 2012 relating to </w:t>
      </w:r>
      <w:r>
        <w:t xml:space="preserve">the UNHCR document “International Protection Considerations with regard to people fleeing the Syrian Arab Republic”, or </w:t>
      </w:r>
      <w:r w:rsidR="00825002">
        <w:t>so</w:t>
      </w:r>
      <w:r>
        <w:t xml:space="preserve"> general</w:t>
      </w:r>
      <w:r w:rsidR="00825002">
        <w:t xml:space="preserve"> in</w:t>
      </w:r>
      <w:r>
        <w:t xml:space="preserve"> nature that they</w:t>
      </w:r>
      <w:r w:rsidR="003B39F4">
        <w:t xml:space="preserve"> had</w:t>
      </w:r>
      <w:r>
        <w:t xml:space="preserve"> failed to corroborate the individual circumstances of each applicant. </w:t>
      </w:r>
      <w:r w:rsidR="00D462EF">
        <w:t xml:space="preserve">By way of example, the Government submitted copies of two court decisions where Syrian nationals </w:t>
      </w:r>
      <w:r w:rsidR="00352B21">
        <w:t>had been</w:t>
      </w:r>
      <w:r w:rsidR="00D462EF">
        <w:t xml:space="preserve"> able to </w:t>
      </w:r>
      <w:r w:rsidR="00352B21">
        <w:t>obtain reversal of</w:t>
      </w:r>
      <w:r w:rsidR="00D462EF">
        <w:t xml:space="preserve"> the expulsion orders (see paragraphs </w:t>
      </w:r>
      <w:r w:rsidR="00E83AD8">
        <w:rPr>
          <w:noProof/>
        </w:rPr>
        <w:t>71</w:t>
      </w:r>
      <w:r w:rsidR="00D462EF">
        <w:t xml:space="preserve"> and </w:t>
      </w:r>
      <w:r w:rsidR="00E83AD8">
        <w:rPr>
          <w:noProof/>
        </w:rPr>
        <w:t>73</w:t>
      </w:r>
      <w:r w:rsidR="00D462EF">
        <w:t xml:space="preserve"> above).</w:t>
      </w:r>
    </w:p>
    <w:p w:rsidR="001A7F28" w:rsidRDefault="00BE5C4D" w:rsidP="00C621C2">
      <w:pPr>
        <w:pStyle w:val="ECHRPara"/>
      </w:pPr>
      <w:r>
        <w:fldChar w:fldCharType="begin"/>
      </w:r>
      <w:r>
        <w:instrText xml:space="preserve"> SEQ level0 \*arabic </w:instrText>
      </w:r>
      <w:r>
        <w:fldChar w:fldCharType="separate"/>
      </w:r>
      <w:r w:rsidR="00D21AD2">
        <w:rPr>
          <w:noProof/>
        </w:rPr>
        <w:t>87</w:t>
      </w:r>
      <w:r>
        <w:fldChar w:fldCharType="end"/>
      </w:r>
      <w:r>
        <w:t>.  </w:t>
      </w:r>
      <w:r w:rsidR="00201AA6">
        <w:t>S</w:t>
      </w:r>
      <w:r>
        <w:t>pecific information</w:t>
      </w:r>
      <w:r w:rsidR="00201AA6">
        <w:t>, for instance concerning</w:t>
      </w:r>
      <w:r>
        <w:t xml:space="preserve"> the destruction of their homes and </w:t>
      </w:r>
      <w:r w:rsidR="003704F6">
        <w:t xml:space="preserve">the </w:t>
      </w:r>
      <w:r>
        <w:t xml:space="preserve">death of </w:t>
      </w:r>
      <w:r w:rsidR="003704F6">
        <w:t xml:space="preserve">their </w:t>
      </w:r>
      <w:r>
        <w:t xml:space="preserve">family members </w:t>
      </w:r>
      <w:r w:rsidR="003B39F4">
        <w:t>had</w:t>
      </w:r>
      <w:r>
        <w:t xml:space="preserve"> </w:t>
      </w:r>
      <w:r w:rsidR="003B39F4">
        <w:t>not been</w:t>
      </w:r>
      <w:r>
        <w:t xml:space="preserve"> submitted by A.A and L.M. </w:t>
      </w:r>
      <w:r w:rsidR="003B39F4">
        <w:t>until</w:t>
      </w:r>
      <w:r>
        <w:t xml:space="preserve"> 27 May 2014. The significant delay in reporting their alleged fears to the Russian authorities raised doubts as to the veracity of </w:t>
      </w:r>
      <w:r w:rsidR="003704F6">
        <w:t xml:space="preserve">their </w:t>
      </w:r>
      <w:r>
        <w:t>applications.</w:t>
      </w:r>
    </w:p>
    <w:p w:rsidR="009E1BDD" w:rsidRDefault="00966C34" w:rsidP="00C621C2">
      <w:pPr>
        <w:pStyle w:val="ECHRPara"/>
      </w:pPr>
      <w:r>
        <w:fldChar w:fldCharType="begin"/>
      </w:r>
      <w:r>
        <w:instrText xml:space="preserve"> SEQ level0 \*arabic </w:instrText>
      </w:r>
      <w:r>
        <w:fldChar w:fldCharType="separate"/>
      </w:r>
      <w:r w:rsidR="00D21AD2">
        <w:rPr>
          <w:noProof/>
        </w:rPr>
        <w:t>88</w:t>
      </w:r>
      <w:r>
        <w:fldChar w:fldCharType="end"/>
      </w:r>
      <w:r>
        <w:t>.  </w:t>
      </w:r>
      <w:r w:rsidR="003704F6">
        <w:t>Lastly</w:t>
      </w:r>
      <w:r>
        <w:t xml:space="preserve">, the Government stressed that on 17 July and </w:t>
      </w:r>
      <w:r w:rsidR="00FB7A22">
        <w:t xml:space="preserve">15 October 2014 the applicants had lodged requests not to </w:t>
      </w:r>
      <w:r w:rsidR="003704F6">
        <w:t xml:space="preserve">have </w:t>
      </w:r>
      <w:r w:rsidR="00FB7A22">
        <w:t>their applications for refugee status and temporary asylum</w:t>
      </w:r>
      <w:r w:rsidR="003704F6">
        <w:t xml:space="preserve"> reviewed</w:t>
      </w:r>
      <w:r w:rsidR="00FB7A22">
        <w:t xml:space="preserve">. </w:t>
      </w:r>
      <w:r w:rsidR="002159CD">
        <w:t>This inconsistency</w:t>
      </w:r>
      <w:r w:rsidR="003B39F4">
        <w:t xml:space="preserve"> had</w:t>
      </w:r>
      <w:r w:rsidR="002159CD">
        <w:t xml:space="preserve"> </w:t>
      </w:r>
      <w:r w:rsidR="00271D7D">
        <w:t>prevented the FMS from examining the</w:t>
      </w:r>
      <w:r w:rsidR="002159CD">
        <w:t>ir</w:t>
      </w:r>
      <w:r w:rsidR="00271D7D">
        <w:t xml:space="preserve"> complain</w:t>
      </w:r>
      <w:r w:rsidR="002159CD">
        <w:t>t</w:t>
      </w:r>
      <w:r w:rsidR="00271D7D">
        <w:t xml:space="preserve">s on the </w:t>
      </w:r>
      <w:r w:rsidR="002159CD">
        <w:t>merits</w:t>
      </w:r>
      <w:r w:rsidR="00271D7D">
        <w:t xml:space="preserve">. </w:t>
      </w:r>
      <w:r w:rsidR="00EE53A3">
        <w:t>The examination of A.A.</w:t>
      </w:r>
      <w:r w:rsidR="00BA3D89">
        <w:t>’</w:t>
      </w:r>
      <w:r w:rsidR="00EE53A3">
        <w:t xml:space="preserve">s complaint </w:t>
      </w:r>
      <w:r w:rsidR="002159CD">
        <w:t xml:space="preserve">had </w:t>
      </w:r>
      <w:r w:rsidR="00EE53A3">
        <w:t>been left incomplete in view of his escape from the detention centre in August 2014 and the absence of any contact with the authorities since</w:t>
      </w:r>
      <w:r w:rsidR="002159CD">
        <w:t xml:space="preserve"> then</w:t>
      </w:r>
      <w:r w:rsidR="00EE53A3">
        <w:t xml:space="preserve">. The Government were of the opinion that </w:t>
      </w:r>
      <w:r w:rsidR="002159CD">
        <w:t xml:space="preserve">a </w:t>
      </w:r>
      <w:r w:rsidR="00EE53A3">
        <w:t>further examination of A.A.</w:t>
      </w:r>
      <w:r w:rsidR="00BA3D89">
        <w:t>’</w:t>
      </w:r>
      <w:r w:rsidR="00EE53A3">
        <w:t xml:space="preserve">s complaint was impossible in </w:t>
      </w:r>
      <w:r w:rsidR="002159CD">
        <w:t>the</w:t>
      </w:r>
      <w:r w:rsidR="00EE53A3">
        <w:t xml:space="preserve"> circumstances.</w:t>
      </w:r>
    </w:p>
    <w:p w:rsidR="009E1BDD" w:rsidRDefault="00BE5C4D" w:rsidP="00C621C2">
      <w:pPr>
        <w:pStyle w:val="ECHRPara"/>
      </w:pPr>
      <w:r>
        <w:fldChar w:fldCharType="begin"/>
      </w:r>
      <w:r>
        <w:instrText xml:space="preserve"> SEQ level0 \*arabic </w:instrText>
      </w:r>
      <w:r>
        <w:fldChar w:fldCharType="separate"/>
      </w:r>
      <w:r w:rsidR="00D21AD2">
        <w:rPr>
          <w:noProof/>
        </w:rPr>
        <w:t>89</w:t>
      </w:r>
      <w:r>
        <w:fldChar w:fldCharType="end"/>
      </w:r>
      <w:r>
        <w:t xml:space="preserve">.  In </w:t>
      </w:r>
      <w:r w:rsidR="00EE53A3">
        <w:t>view of the above</w:t>
      </w:r>
      <w:r>
        <w:t>, the Government were of the opinion that the applicants</w:t>
      </w:r>
      <w:r w:rsidR="00BA3D89">
        <w:t>’</w:t>
      </w:r>
      <w:r>
        <w:t xml:space="preserve"> claims under Article</w:t>
      </w:r>
      <w:r w:rsidR="001C17D3">
        <w:t>s 2 and</w:t>
      </w:r>
      <w:r>
        <w:t xml:space="preserve"> 3 should be dismissed for non-</w:t>
      </w:r>
      <w:r w:rsidR="001F06F5">
        <w:t>exhaustion</w:t>
      </w:r>
      <w:r>
        <w:t xml:space="preserve"> of domestic remedies or as manifestly ill-founded.</w:t>
      </w:r>
    </w:p>
    <w:p w:rsidR="009E1BDD" w:rsidRDefault="00965E4D" w:rsidP="001A7F28">
      <w:pPr>
        <w:pStyle w:val="ECHRHeading3"/>
      </w:pPr>
      <w:r>
        <w:t>2.  </w:t>
      </w:r>
      <w:r w:rsidR="001A7F28">
        <w:t>The applicants</w:t>
      </w:r>
    </w:p>
    <w:p w:rsidR="009E1BDD" w:rsidRDefault="001C17D3" w:rsidP="00C621C2">
      <w:pPr>
        <w:pStyle w:val="ECHRPara"/>
      </w:pPr>
      <w:r>
        <w:fldChar w:fldCharType="begin"/>
      </w:r>
      <w:r>
        <w:instrText xml:space="preserve"> SEQ level0 \*arabic </w:instrText>
      </w:r>
      <w:r>
        <w:fldChar w:fldCharType="separate"/>
      </w:r>
      <w:r w:rsidR="00D21AD2">
        <w:rPr>
          <w:noProof/>
        </w:rPr>
        <w:t>90</w:t>
      </w:r>
      <w:r>
        <w:fldChar w:fldCharType="end"/>
      </w:r>
      <w:r>
        <w:t>.  </w:t>
      </w:r>
      <w:r w:rsidR="00E14CF0">
        <w:t>The applicants argued that the question of their expulsion to Syria ha</w:t>
      </w:r>
      <w:r w:rsidR="002F7666">
        <w:t>d</w:t>
      </w:r>
      <w:r w:rsidR="00E14CF0">
        <w:t xml:space="preserve"> been considered </w:t>
      </w:r>
      <w:r w:rsidR="002F7666">
        <w:t xml:space="preserve">and decided </w:t>
      </w:r>
      <w:r w:rsidR="00A119C2">
        <w:t>primarily</w:t>
      </w:r>
      <w:r w:rsidR="002F7666">
        <w:t xml:space="preserve"> </w:t>
      </w:r>
      <w:r w:rsidR="00E14CF0">
        <w:t>within the framewor</w:t>
      </w:r>
      <w:r w:rsidR="00A119C2">
        <w:t xml:space="preserve">k of </w:t>
      </w:r>
      <w:r w:rsidR="002159CD">
        <w:t xml:space="preserve">the </w:t>
      </w:r>
      <w:r w:rsidR="00A119C2">
        <w:t>administrative proceedings</w:t>
      </w:r>
      <w:r w:rsidR="002159CD">
        <w:t>, in which</w:t>
      </w:r>
      <w:r w:rsidR="00E14CF0">
        <w:t xml:space="preserve"> they ha</w:t>
      </w:r>
      <w:r w:rsidR="002F7666">
        <w:t>d</w:t>
      </w:r>
      <w:r w:rsidR="00E14CF0">
        <w:t xml:space="preserve"> submitted extensive documents and arguments pointing to the danger </w:t>
      </w:r>
      <w:r w:rsidR="002F7666">
        <w:t>of</w:t>
      </w:r>
      <w:r w:rsidR="002159CD">
        <w:t xml:space="preserve"> a</w:t>
      </w:r>
      <w:r w:rsidR="002F7666">
        <w:t xml:space="preserve"> violation of Articles 2 and 3 </w:t>
      </w:r>
      <w:r w:rsidR="00A501A0">
        <w:t>i</w:t>
      </w:r>
      <w:r w:rsidR="00BF4D78">
        <w:t>n the event of their return</w:t>
      </w:r>
      <w:r w:rsidR="002F7666">
        <w:t xml:space="preserve">. </w:t>
      </w:r>
      <w:r w:rsidR="00A119C2">
        <w:t>T</w:t>
      </w:r>
      <w:r w:rsidR="002F7666">
        <w:t xml:space="preserve">he </w:t>
      </w:r>
      <w:r w:rsidR="00E95775">
        <w:t xml:space="preserve">judicial </w:t>
      </w:r>
      <w:r w:rsidR="00A119C2">
        <w:t>decisions</w:t>
      </w:r>
      <w:r w:rsidR="002F7666">
        <w:t xml:space="preserve"> of 15 and 16 April and 27 May 2014 </w:t>
      </w:r>
      <w:r w:rsidR="00A119C2">
        <w:t>had</w:t>
      </w:r>
      <w:r w:rsidR="002F7666">
        <w:t xml:space="preserve"> failed to take these arguments </w:t>
      </w:r>
      <w:r w:rsidR="000C41A5">
        <w:t xml:space="preserve">into account </w:t>
      </w:r>
      <w:r w:rsidR="002F7666">
        <w:t xml:space="preserve">and </w:t>
      </w:r>
      <w:r w:rsidR="00A501A0">
        <w:t xml:space="preserve">had </w:t>
      </w:r>
      <w:r w:rsidR="002F7666">
        <w:t xml:space="preserve">made no effort to dispel them. </w:t>
      </w:r>
      <w:r w:rsidR="009174D8">
        <w:t xml:space="preserve">In </w:t>
      </w:r>
      <w:r w:rsidR="00A501A0">
        <w:t xml:space="preserve">the </w:t>
      </w:r>
      <w:r w:rsidR="009174D8">
        <w:t>April hearing</w:t>
      </w:r>
      <w:r w:rsidR="00A119C2">
        <w:t>s</w:t>
      </w:r>
      <w:r w:rsidR="009174D8">
        <w:t xml:space="preserve"> </w:t>
      </w:r>
      <w:r w:rsidR="00A501A0">
        <w:t xml:space="preserve">in </w:t>
      </w:r>
      <w:r w:rsidR="009174D8">
        <w:t xml:space="preserve">the </w:t>
      </w:r>
      <w:r w:rsidR="00A501A0">
        <w:t>D</w:t>
      </w:r>
      <w:r w:rsidR="009174D8">
        <w:t xml:space="preserve">istrict </w:t>
      </w:r>
      <w:r w:rsidR="00A501A0">
        <w:t>C</w:t>
      </w:r>
      <w:r w:rsidR="009174D8">
        <w:t>ourt, the</w:t>
      </w:r>
      <w:r w:rsidR="00BF6155">
        <w:t>y</w:t>
      </w:r>
      <w:r w:rsidR="009174D8">
        <w:t xml:space="preserve"> </w:t>
      </w:r>
      <w:r w:rsidR="00BF6155">
        <w:t xml:space="preserve">had </w:t>
      </w:r>
      <w:r w:rsidR="009174D8">
        <w:t xml:space="preserve">raised their fears </w:t>
      </w:r>
      <w:r w:rsidR="007B05A7">
        <w:t xml:space="preserve">of returning </w:t>
      </w:r>
      <w:r w:rsidR="009174D8">
        <w:t xml:space="preserve">to Syria. </w:t>
      </w:r>
      <w:r w:rsidR="00A119C2">
        <w:t>During</w:t>
      </w:r>
      <w:r w:rsidR="009174D8">
        <w:t xml:space="preserve"> the hearing of 27</w:t>
      </w:r>
      <w:r w:rsidR="00965E4D">
        <w:t> </w:t>
      </w:r>
      <w:r w:rsidR="009174D8">
        <w:t>May 20</w:t>
      </w:r>
      <w:r w:rsidR="00087EE0">
        <w:t>1</w:t>
      </w:r>
      <w:r w:rsidR="009174D8">
        <w:t xml:space="preserve">4, they </w:t>
      </w:r>
      <w:r w:rsidR="00BF6155">
        <w:t xml:space="preserve">had </w:t>
      </w:r>
      <w:r w:rsidR="009174D8">
        <w:t xml:space="preserve">submitted extensive and detailed information about the </w:t>
      </w:r>
      <w:r w:rsidR="003905B9">
        <w:t xml:space="preserve">conflict </w:t>
      </w:r>
      <w:r w:rsidR="0029675F">
        <w:t>there</w:t>
      </w:r>
      <w:r w:rsidR="003905B9">
        <w:t xml:space="preserve"> and the danger</w:t>
      </w:r>
      <w:r w:rsidR="0029675F">
        <w:t xml:space="preserve"> </w:t>
      </w:r>
      <w:r w:rsidR="00A501A0">
        <w:t xml:space="preserve">they would face </w:t>
      </w:r>
      <w:r w:rsidR="007B05A7">
        <w:t xml:space="preserve">if </w:t>
      </w:r>
      <w:r w:rsidR="003905B9">
        <w:t>return</w:t>
      </w:r>
      <w:r w:rsidR="007B05A7">
        <w:t>ed</w:t>
      </w:r>
      <w:r w:rsidR="003905B9">
        <w:t xml:space="preserve">. </w:t>
      </w:r>
      <w:r w:rsidR="00741167">
        <w:t>These documents included UNHCR and FMS documents, other relevant information and the</w:t>
      </w:r>
      <w:r w:rsidR="00BF6155">
        <w:t>ir</w:t>
      </w:r>
      <w:r w:rsidR="00825002">
        <w:t xml:space="preserve"> own</w:t>
      </w:r>
      <w:r w:rsidR="00741167">
        <w:t xml:space="preserve"> detailed statements. The applicants stressed that L.M. was </w:t>
      </w:r>
      <w:r w:rsidR="00E95775">
        <w:t xml:space="preserve">a </w:t>
      </w:r>
      <w:r w:rsidR="00741167">
        <w:t xml:space="preserve">stateless Palestinian and </w:t>
      </w:r>
      <w:r w:rsidR="00B15E17">
        <w:t>was therefore</w:t>
      </w:r>
      <w:r w:rsidR="00741167">
        <w:t xml:space="preserve"> in particular need of international protection</w:t>
      </w:r>
      <w:r w:rsidR="003F540F">
        <w:t>, while</w:t>
      </w:r>
      <w:r w:rsidR="00741167">
        <w:t xml:space="preserve"> A.A. and </w:t>
      </w:r>
      <w:r w:rsidR="00807B20">
        <w:t>M.A.</w:t>
      </w:r>
      <w:r w:rsidR="00741167">
        <w:t xml:space="preserve"> were from Aleppo</w:t>
      </w:r>
      <w:r w:rsidR="003F540F">
        <w:t>,</w:t>
      </w:r>
      <w:r w:rsidR="00741167">
        <w:t xml:space="preserve"> where </w:t>
      </w:r>
      <w:r w:rsidR="00741167">
        <w:lastRenderedPageBreak/>
        <w:t xml:space="preserve">fierce fighting </w:t>
      </w:r>
      <w:r w:rsidR="003F540F">
        <w:t xml:space="preserve">had </w:t>
      </w:r>
      <w:r w:rsidR="00741167">
        <w:t>been raging since 2013.</w:t>
      </w:r>
      <w:r w:rsidR="00A76031">
        <w:t xml:space="preserve"> </w:t>
      </w:r>
      <w:r w:rsidR="00741167">
        <w:t>A.</w:t>
      </w:r>
      <w:r w:rsidR="00A76031">
        <w:t>M</w:t>
      </w:r>
      <w:r w:rsidR="00741167">
        <w:t xml:space="preserve"> specified </w:t>
      </w:r>
      <w:r w:rsidR="0029675F">
        <w:t xml:space="preserve">in addition </w:t>
      </w:r>
      <w:r w:rsidR="00741167">
        <w:t>that several of his family members had been killed by the opposition forces</w:t>
      </w:r>
      <w:r w:rsidR="00A76031">
        <w:t>.</w:t>
      </w:r>
      <w:r w:rsidR="00741167">
        <w:t xml:space="preserve"> </w:t>
      </w:r>
      <w:r w:rsidR="002F7666">
        <w:t xml:space="preserve">Following the </w:t>
      </w:r>
      <w:r w:rsidR="009174D8">
        <w:t xml:space="preserve">decision </w:t>
      </w:r>
      <w:r w:rsidR="003F540F">
        <w:t>taken at that hearing</w:t>
      </w:r>
      <w:r w:rsidR="002F7666">
        <w:t>, the decisions to expel them had entered into force.</w:t>
      </w:r>
    </w:p>
    <w:p w:rsidR="009E1BDD" w:rsidRDefault="001C17D3" w:rsidP="00C621C2">
      <w:pPr>
        <w:pStyle w:val="ECHRPara"/>
      </w:pPr>
      <w:r>
        <w:fldChar w:fldCharType="begin"/>
      </w:r>
      <w:r>
        <w:instrText xml:space="preserve"> SEQ level0 \*arabic </w:instrText>
      </w:r>
      <w:r>
        <w:fldChar w:fldCharType="separate"/>
      </w:r>
      <w:r w:rsidR="00D21AD2">
        <w:rPr>
          <w:noProof/>
        </w:rPr>
        <w:t>91</w:t>
      </w:r>
      <w:r>
        <w:fldChar w:fldCharType="end"/>
      </w:r>
      <w:r>
        <w:t>.  </w:t>
      </w:r>
      <w:r w:rsidR="00F75277">
        <w:t xml:space="preserve">The applicants </w:t>
      </w:r>
      <w:r w:rsidR="00246585">
        <w:t>argued</w:t>
      </w:r>
      <w:r w:rsidR="00F75277">
        <w:t xml:space="preserve"> that </w:t>
      </w:r>
      <w:r w:rsidR="00A84762">
        <w:t>they ha</w:t>
      </w:r>
      <w:r w:rsidR="00246585">
        <w:t>d</w:t>
      </w:r>
      <w:r w:rsidR="00A84762">
        <w:t xml:space="preserve"> submitted sufficiently detailed, individualised and corroborated evidence </w:t>
      </w:r>
      <w:r w:rsidR="00D96912">
        <w:t xml:space="preserve">to the authorities </w:t>
      </w:r>
      <w:r w:rsidR="00A84762">
        <w:t xml:space="preserve">that they faced a real risk of death and/or ill-treatment </w:t>
      </w:r>
      <w:r w:rsidR="007B05A7">
        <w:t>if returned</w:t>
      </w:r>
      <w:r w:rsidR="00A84762">
        <w:t xml:space="preserve">. </w:t>
      </w:r>
      <w:r w:rsidR="0050383C">
        <w:t>I</w:t>
      </w:r>
      <w:r w:rsidR="00201AA6">
        <w:t>n</w:t>
      </w:r>
      <w:r w:rsidR="0050383C">
        <w:t xml:space="preserve"> addition to general country of origin information speaking of widespread and general</w:t>
      </w:r>
      <w:r w:rsidR="00811D46">
        <w:t xml:space="preserve"> </w:t>
      </w:r>
      <w:r w:rsidR="0050383C">
        <w:t xml:space="preserve">violence against civilians, this position </w:t>
      </w:r>
      <w:r w:rsidR="003B39F4">
        <w:t>had been</w:t>
      </w:r>
      <w:r w:rsidR="00350024">
        <w:t xml:space="preserve"> based on the UN</w:t>
      </w:r>
      <w:r w:rsidR="0050383C">
        <w:t>H</w:t>
      </w:r>
      <w:r w:rsidR="00350024">
        <w:t>C</w:t>
      </w:r>
      <w:r w:rsidR="0050383C">
        <w:t>R individual assessment letters of the applicants</w:t>
      </w:r>
      <w:r w:rsidR="00BA3D89">
        <w:t>’</w:t>
      </w:r>
      <w:r w:rsidR="0050383C">
        <w:t xml:space="preserve"> situation and</w:t>
      </w:r>
      <w:r w:rsidR="00A84762">
        <w:t xml:space="preserve"> supported by the official position</w:t>
      </w:r>
      <w:r w:rsidR="00205446">
        <w:t xml:space="preserve"> </w:t>
      </w:r>
      <w:r w:rsidR="00A84762">
        <w:t xml:space="preserve">of the Federal </w:t>
      </w:r>
      <w:r w:rsidR="00CE4174">
        <w:t>Bailiff</w:t>
      </w:r>
      <w:r w:rsidR="00A84762">
        <w:t xml:space="preserve"> Service and FMS </w:t>
      </w:r>
      <w:r w:rsidR="00D96912">
        <w:t xml:space="preserve">relied on </w:t>
      </w:r>
      <w:r w:rsidR="00A84762">
        <w:t>by the applicants about the impossibility of return</w:t>
      </w:r>
      <w:r w:rsidR="00D96912">
        <w:t>ing</w:t>
      </w:r>
      <w:r w:rsidR="00A84762">
        <w:t xml:space="preserve"> to Syria and well-</w:t>
      </w:r>
      <w:proofErr w:type="spellStart"/>
      <w:r w:rsidR="00A84762">
        <w:t>found</w:t>
      </w:r>
      <w:r w:rsidR="00206C19">
        <w:t>ed</w:t>
      </w:r>
      <w:r w:rsidR="00A84762">
        <w:t>ness</w:t>
      </w:r>
      <w:proofErr w:type="spellEnd"/>
      <w:r w:rsidR="00A84762">
        <w:t xml:space="preserve"> of </w:t>
      </w:r>
      <w:r w:rsidR="0029675F">
        <w:t xml:space="preserve">their </w:t>
      </w:r>
      <w:r w:rsidR="00A84762">
        <w:t>asylum requests.</w:t>
      </w:r>
    </w:p>
    <w:p w:rsidR="00106ABE" w:rsidRDefault="00106ABE" w:rsidP="00C621C2">
      <w:pPr>
        <w:pStyle w:val="ECHRPara"/>
      </w:pPr>
      <w:r>
        <w:fldChar w:fldCharType="begin"/>
      </w:r>
      <w:r>
        <w:instrText xml:space="preserve"> SEQ level0 \*arabic </w:instrText>
      </w:r>
      <w:r>
        <w:fldChar w:fldCharType="separate"/>
      </w:r>
      <w:r w:rsidR="00D21AD2">
        <w:rPr>
          <w:noProof/>
        </w:rPr>
        <w:t>92</w:t>
      </w:r>
      <w:r>
        <w:fldChar w:fldCharType="end"/>
      </w:r>
      <w:r>
        <w:t>.  </w:t>
      </w:r>
      <w:r w:rsidR="00CC32A6">
        <w:t xml:space="preserve">In </w:t>
      </w:r>
      <w:r w:rsidR="00D96912">
        <w:t xml:space="preserve">the </w:t>
      </w:r>
      <w:r w:rsidR="00CC32A6">
        <w:t xml:space="preserve">circumstances, the </w:t>
      </w:r>
      <w:r w:rsidR="00246585">
        <w:t xml:space="preserve">judicial </w:t>
      </w:r>
      <w:r w:rsidR="00CC32A6">
        <w:t xml:space="preserve">decisions to maintain the administrative expulsion as an additional sanction </w:t>
      </w:r>
      <w:r w:rsidR="00BF6155">
        <w:t>had</w:t>
      </w:r>
      <w:r w:rsidR="00CC32A6">
        <w:t xml:space="preserve"> not </w:t>
      </w:r>
      <w:r w:rsidR="00BF6155">
        <w:t xml:space="preserve">been </w:t>
      </w:r>
      <w:r w:rsidR="00CC32A6">
        <w:t xml:space="preserve">based on </w:t>
      </w:r>
      <w:r w:rsidR="00BF6155">
        <w:t xml:space="preserve">an </w:t>
      </w:r>
      <w:r w:rsidR="00CC32A6">
        <w:t>individualised assessment and</w:t>
      </w:r>
      <w:r w:rsidR="00BF6155">
        <w:t xml:space="preserve"> had</w:t>
      </w:r>
      <w:r w:rsidR="00CC32A6">
        <w:t xml:space="preserve"> failed to take into account the relevant important factors. Despite this weighty and detailed evidence, the decisions of the Regional Court of 27 May 2014 </w:t>
      </w:r>
      <w:r w:rsidR="00BF6155">
        <w:t xml:space="preserve">had </w:t>
      </w:r>
      <w:r w:rsidR="00CC32A6">
        <w:t>simply stated that the information about the continuous civil war and the alleged danger to the applicants</w:t>
      </w:r>
      <w:r w:rsidR="00BA3D89">
        <w:t>’</w:t>
      </w:r>
      <w:r w:rsidR="00CC32A6">
        <w:t xml:space="preserve"> life and safety “did not constitute sufficient grounds for excluding the application </w:t>
      </w:r>
      <w:r w:rsidR="0029675F">
        <w:t>for</w:t>
      </w:r>
      <w:r w:rsidR="00CC32A6">
        <w:t xml:space="preserve"> expulsion”.</w:t>
      </w:r>
    </w:p>
    <w:p w:rsidR="009E1BDD" w:rsidRDefault="00CC32A6" w:rsidP="00C621C2">
      <w:pPr>
        <w:pStyle w:val="ECHRPara"/>
      </w:pPr>
      <w:r>
        <w:fldChar w:fldCharType="begin"/>
      </w:r>
      <w:r>
        <w:instrText xml:space="preserve"> SEQ level0 \*arabic </w:instrText>
      </w:r>
      <w:r>
        <w:fldChar w:fldCharType="separate"/>
      </w:r>
      <w:r w:rsidR="00D21AD2">
        <w:rPr>
          <w:noProof/>
        </w:rPr>
        <w:t>93</w:t>
      </w:r>
      <w:r>
        <w:fldChar w:fldCharType="end"/>
      </w:r>
      <w:r>
        <w:t xml:space="preserve">.  As to the available remedies, the applicants argued that their claims of </w:t>
      </w:r>
      <w:r w:rsidR="0029675F">
        <w:t xml:space="preserve">a </w:t>
      </w:r>
      <w:r>
        <w:t xml:space="preserve">possible breach of Articles 2 and 3 in </w:t>
      </w:r>
      <w:r w:rsidR="0029675F">
        <w:t>the event</w:t>
      </w:r>
      <w:r>
        <w:t xml:space="preserve"> of </w:t>
      </w:r>
      <w:r w:rsidR="0029675F">
        <w:t xml:space="preserve">their </w:t>
      </w:r>
      <w:r>
        <w:t xml:space="preserve">return should have been taken into account in the context of </w:t>
      </w:r>
      <w:r w:rsidR="0029675F">
        <w:t xml:space="preserve">the </w:t>
      </w:r>
      <w:r>
        <w:t>proceedings concerning administrative expulsion. This, in their view, constituted the most appropriate and effective avenue to address the issue. They stressed that the fact that their claims for refugee status and/or temporary asylum status had been lodged by the time of the hearing in the Regional Court on 27 May 2014 had not prevented that court from confirming the legality of their expulsion, thus nullifying the possible guarantee of non-</w:t>
      </w:r>
      <w:proofErr w:type="spellStart"/>
      <w:r w:rsidR="00D41FFD">
        <w:t>refoulement</w:t>
      </w:r>
      <w:proofErr w:type="spellEnd"/>
      <w:r w:rsidR="00D41FFD">
        <w:t xml:space="preserve"> </w:t>
      </w:r>
      <w:r>
        <w:t>contained in the relevant international and</w:t>
      </w:r>
      <w:r w:rsidR="0002749F">
        <w:t xml:space="preserve"> domestic</w:t>
      </w:r>
      <w:r>
        <w:t xml:space="preserve"> </w:t>
      </w:r>
      <w:r w:rsidR="00246585">
        <w:t xml:space="preserve">legal </w:t>
      </w:r>
      <w:r>
        <w:t>documents.</w:t>
      </w:r>
    </w:p>
    <w:p w:rsidR="009E1BDD" w:rsidRDefault="00CC32A6" w:rsidP="00C621C2">
      <w:pPr>
        <w:pStyle w:val="ECHRPara"/>
      </w:pPr>
      <w:r>
        <w:fldChar w:fldCharType="begin"/>
      </w:r>
      <w:r>
        <w:instrText xml:space="preserve"> SEQ level0 \*arabic </w:instrText>
      </w:r>
      <w:r>
        <w:fldChar w:fldCharType="separate"/>
      </w:r>
      <w:r w:rsidR="00D21AD2">
        <w:rPr>
          <w:noProof/>
        </w:rPr>
        <w:t>94</w:t>
      </w:r>
      <w:r>
        <w:fldChar w:fldCharType="end"/>
      </w:r>
      <w:r>
        <w:t>.  </w:t>
      </w:r>
      <w:r w:rsidR="001B2848">
        <w:t xml:space="preserve">Moreover, the District </w:t>
      </w:r>
      <w:r w:rsidR="001129BD">
        <w:t xml:space="preserve">Court </w:t>
      </w:r>
      <w:r w:rsidR="00BF6155">
        <w:t xml:space="preserve">had </w:t>
      </w:r>
      <w:r w:rsidR="001129BD">
        <w:t>refused to stay the execution of the judgments in question, supporting the view that the expulsion was still possible.</w:t>
      </w:r>
    </w:p>
    <w:p w:rsidR="009E1BDD" w:rsidRDefault="001129BD" w:rsidP="00C621C2">
      <w:pPr>
        <w:pStyle w:val="ECHRPara"/>
      </w:pPr>
      <w:r>
        <w:fldChar w:fldCharType="begin"/>
      </w:r>
      <w:r>
        <w:instrText xml:space="preserve"> SEQ level0 \*arabic </w:instrText>
      </w:r>
      <w:r>
        <w:fldChar w:fldCharType="separate"/>
      </w:r>
      <w:r w:rsidR="00D21AD2">
        <w:rPr>
          <w:noProof/>
        </w:rPr>
        <w:t>95</w:t>
      </w:r>
      <w:r>
        <w:fldChar w:fldCharType="end"/>
      </w:r>
      <w:r>
        <w:t>.  In so far as the Government claimed that the procedure for refugee status and</w:t>
      </w:r>
      <w:r w:rsidR="00246585">
        <w:t xml:space="preserve"> temporary asylum constituted </w:t>
      </w:r>
      <w:r>
        <w:t xml:space="preserve">an effective remedy to be </w:t>
      </w:r>
      <w:r w:rsidR="00BF6155">
        <w:t>used</w:t>
      </w:r>
      <w:r>
        <w:t xml:space="preserve">, the applicants stressed that the system in Russia </w:t>
      </w:r>
      <w:r w:rsidR="00BF6155">
        <w:t>had</w:t>
      </w:r>
      <w:r>
        <w:t xml:space="preserve"> a number of serious drawbacks which </w:t>
      </w:r>
      <w:r w:rsidR="00BF6155">
        <w:t xml:space="preserve">had </w:t>
      </w:r>
      <w:r>
        <w:t>made it inaccessible for the</w:t>
      </w:r>
      <w:r w:rsidR="00BF6155">
        <w:t>m</w:t>
      </w:r>
      <w:r>
        <w:t xml:space="preserve"> in practice. In particular, the</w:t>
      </w:r>
      <w:r w:rsidR="00BF6155">
        <w:t>y</w:t>
      </w:r>
      <w:r>
        <w:t xml:space="preserve"> pointed out that while asylum seekers were notified of the FMS decision not to grant them asylum or refugee status, they had to </w:t>
      </w:r>
      <w:r w:rsidR="00BF6155">
        <w:t>try and obtain</w:t>
      </w:r>
      <w:r>
        <w:t xml:space="preserve"> the text of </w:t>
      </w:r>
      <w:r w:rsidR="00BF6155">
        <w:t>the relevant</w:t>
      </w:r>
      <w:r>
        <w:t xml:space="preserve"> decision from the FMS</w:t>
      </w:r>
      <w:r w:rsidR="00BF6155">
        <w:t xml:space="preserve"> themselves</w:t>
      </w:r>
      <w:r>
        <w:t>. Only once the text ha</w:t>
      </w:r>
      <w:r w:rsidR="00BF6155">
        <w:t>d</w:t>
      </w:r>
      <w:r>
        <w:t xml:space="preserve"> been obtained could the </w:t>
      </w:r>
      <w:r w:rsidR="00407CA1">
        <w:t>people</w:t>
      </w:r>
      <w:r w:rsidR="00BF6155">
        <w:t xml:space="preserve"> affected</w:t>
      </w:r>
      <w:r w:rsidR="00407CA1">
        <w:t xml:space="preserve"> </w:t>
      </w:r>
      <w:r>
        <w:t xml:space="preserve">bring a complaint to the competent court. A.A.s first request </w:t>
      </w:r>
      <w:r w:rsidR="00BF6155">
        <w:t>had</w:t>
      </w:r>
      <w:r>
        <w:t xml:space="preserve"> t</w:t>
      </w:r>
      <w:r w:rsidR="003B39F4">
        <w:t>herefore</w:t>
      </w:r>
      <w:r w:rsidR="00BF6155">
        <w:t xml:space="preserve"> been</w:t>
      </w:r>
      <w:r>
        <w:t xml:space="preserve"> rejected on 26</w:t>
      </w:r>
      <w:r w:rsidR="00965E4D">
        <w:t> </w:t>
      </w:r>
      <w:r>
        <w:t>March 2014, and the</w:t>
      </w:r>
      <w:r w:rsidR="00246585">
        <w:t xml:space="preserve"> applicant who had no legal aid and spoke no </w:t>
      </w:r>
      <w:r w:rsidR="00246585">
        <w:lastRenderedPageBreak/>
        <w:t>Russian</w:t>
      </w:r>
      <w:r>
        <w:t xml:space="preserve"> </w:t>
      </w:r>
      <w:r w:rsidR="00825002">
        <w:t>had</w:t>
      </w:r>
      <w:r>
        <w:t xml:space="preserve"> not</w:t>
      </w:r>
      <w:r w:rsidR="00825002">
        <w:t xml:space="preserve"> been</w:t>
      </w:r>
      <w:r>
        <w:t xml:space="preserve"> aware of the need to obtain the decision. This information was apparent from the </w:t>
      </w:r>
      <w:r w:rsidR="00F34C8B">
        <w:t>Government</w:t>
      </w:r>
      <w:r w:rsidR="00BA3D89">
        <w:t>’</w:t>
      </w:r>
      <w:r w:rsidR="00F34C8B">
        <w:t>s</w:t>
      </w:r>
      <w:r>
        <w:t xml:space="preserve"> observations of 10</w:t>
      </w:r>
      <w:r w:rsidR="00965E4D">
        <w:t> </w:t>
      </w:r>
      <w:r>
        <w:t xml:space="preserve">September 2014 </w:t>
      </w:r>
      <w:r w:rsidR="0036051D">
        <w:t>whe</w:t>
      </w:r>
      <w:r w:rsidR="00BF6155">
        <w:t>re</w:t>
      </w:r>
      <w:r w:rsidR="0036051D">
        <w:t xml:space="preserve"> they </w:t>
      </w:r>
      <w:r w:rsidR="003B39F4">
        <w:t xml:space="preserve">had </w:t>
      </w:r>
      <w:r w:rsidR="0036051D">
        <w:t>stressed that A.A. ha</w:t>
      </w:r>
      <w:r w:rsidR="00246585">
        <w:t>d</w:t>
      </w:r>
      <w:r w:rsidR="00087EE0">
        <w:t xml:space="preserve"> not </w:t>
      </w:r>
      <w:r w:rsidR="0036051D">
        <w:t xml:space="preserve">taken the necessary steps </w:t>
      </w:r>
      <w:r w:rsidR="00087EE0">
        <w:t xml:space="preserve">to obtain the decision </w:t>
      </w:r>
      <w:r w:rsidR="0036051D">
        <w:t xml:space="preserve">of 13 </w:t>
      </w:r>
      <w:r w:rsidR="00F82085">
        <w:t>August</w:t>
      </w:r>
      <w:r w:rsidR="0036051D">
        <w:t xml:space="preserve"> 2013. The remedies </w:t>
      </w:r>
      <w:r w:rsidR="00BF6155">
        <w:t>had been</w:t>
      </w:r>
      <w:r w:rsidR="0036051D">
        <w:t xml:space="preserve"> inaccessible in practice, and therefore unavailable to the applicants.</w:t>
      </w:r>
    </w:p>
    <w:p w:rsidR="009E1BDD" w:rsidRDefault="0036051D" w:rsidP="00C621C2">
      <w:pPr>
        <w:pStyle w:val="ECHRPara"/>
      </w:pPr>
      <w:r>
        <w:fldChar w:fldCharType="begin"/>
      </w:r>
      <w:r>
        <w:instrText xml:space="preserve"> SEQ level0 \*arabic </w:instrText>
      </w:r>
      <w:r>
        <w:fldChar w:fldCharType="separate"/>
      </w:r>
      <w:r w:rsidR="00D21AD2">
        <w:rPr>
          <w:noProof/>
        </w:rPr>
        <w:t>96</w:t>
      </w:r>
      <w:r>
        <w:fldChar w:fldCharType="end"/>
      </w:r>
      <w:r>
        <w:t xml:space="preserve">.  The applicants next stressed that the </w:t>
      </w:r>
      <w:r w:rsidR="00F82085">
        <w:t>“retractions” signed by the</w:t>
      </w:r>
      <w:r w:rsidR="00E73D18">
        <w:t>m</w:t>
      </w:r>
      <w:r w:rsidR="00F82085">
        <w:t xml:space="preserve"> at the detention centre had been obtained under duress and in the absence of contact with their representatives, without</w:t>
      </w:r>
      <w:r w:rsidR="003B39F4">
        <w:t xml:space="preserve"> </w:t>
      </w:r>
      <w:r w:rsidR="00BF6155">
        <w:t xml:space="preserve">any </w:t>
      </w:r>
      <w:r w:rsidR="00F82085">
        <w:t xml:space="preserve">understanding </w:t>
      </w:r>
      <w:r w:rsidR="00BF6155">
        <w:t xml:space="preserve">of </w:t>
      </w:r>
      <w:r w:rsidR="00F82085">
        <w:t xml:space="preserve">what they had been doing. This </w:t>
      </w:r>
      <w:r w:rsidR="00E73D18">
        <w:t>was confirmed</w:t>
      </w:r>
      <w:r w:rsidR="00F82085">
        <w:t xml:space="preserve"> </w:t>
      </w:r>
      <w:r w:rsidR="00E73D18">
        <w:t>by</w:t>
      </w:r>
      <w:r w:rsidR="00F82085">
        <w:t xml:space="preserve"> the applicants</w:t>
      </w:r>
      <w:r w:rsidR="00BA3D89">
        <w:t>’</w:t>
      </w:r>
      <w:r w:rsidR="00F82085">
        <w:t xml:space="preserve"> subsequent submissions and statements.</w:t>
      </w:r>
    </w:p>
    <w:p w:rsidR="009E1BDD" w:rsidRDefault="00F82085" w:rsidP="00C621C2">
      <w:pPr>
        <w:pStyle w:val="ECHRPara"/>
      </w:pPr>
      <w:r>
        <w:fldChar w:fldCharType="begin"/>
      </w:r>
      <w:r>
        <w:instrText xml:space="preserve"> SEQ level0 \*arabic </w:instrText>
      </w:r>
      <w:r>
        <w:fldChar w:fldCharType="separate"/>
      </w:r>
      <w:r w:rsidR="00D21AD2">
        <w:rPr>
          <w:noProof/>
        </w:rPr>
        <w:t>97</w:t>
      </w:r>
      <w:r>
        <w:fldChar w:fldCharType="end"/>
      </w:r>
      <w:r>
        <w:t xml:space="preserve">.  As to </w:t>
      </w:r>
      <w:r w:rsidR="00807B20">
        <w:t>M.A.</w:t>
      </w:r>
      <w:r>
        <w:t xml:space="preserve">, he had not retracted his </w:t>
      </w:r>
      <w:r w:rsidR="00246585">
        <w:t xml:space="preserve">latest </w:t>
      </w:r>
      <w:r>
        <w:t xml:space="preserve">request for asylum </w:t>
      </w:r>
      <w:r w:rsidR="00E73D18">
        <w:t xml:space="preserve">which </w:t>
      </w:r>
      <w:r w:rsidR="00640789">
        <w:t>had been</w:t>
      </w:r>
      <w:r w:rsidR="00246585">
        <w:t xml:space="preserve"> </w:t>
      </w:r>
      <w:r w:rsidR="00E73D18">
        <w:t>rejected</w:t>
      </w:r>
      <w:r>
        <w:t xml:space="preserve"> on 19 September 2014. Again, he </w:t>
      </w:r>
      <w:r w:rsidR="00BF6155">
        <w:t>had been</w:t>
      </w:r>
      <w:r>
        <w:t xml:space="preserve"> unable to obtain the decision in full and prevented from having any meaningful contact with his relatives or </w:t>
      </w:r>
      <w:r w:rsidR="004F556D">
        <w:t>representatives</w:t>
      </w:r>
      <w:r>
        <w:t xml:space="preserve"> to challenge th</w:t>
      </w:r>
      <w:r w:rsidR="00BF6155">
        <w:t>e</w:t>
      </w:r>
      <w:r>
        <w:t xml:space="preserve"> decision. </w:t>
      </w:r>
      <w:r w:rsidR="00E73D18">
        <w:t>This information wa</w:t>
      </w:r>
      <w:r w:rsidR="004F556D">
        <w:t xml:space="preserve">s fully corroborated by </w:t>
      </w:r>
      <w:r w:rsidR="00807B20">
        <w:t>M.A.</w:t>
      </w:r>
      <w:r w:rsidR="00BA3D89">
        <w:t>’</w:t>
      </w:r>
      <w:r w:rsidR="004F556D">
        <w:t xml:space="preserve">s relatives and </w:t>
      </w:r>
      <w:r w:rsidR="00E73D18">
        <w:t>his</w:t>
      </w:r>
      <w:r w:rsidR="004F556D">
        <w:t xml:space="preserve"> complaint.</w:t>
      </w:r>
    </w:p>
    <w:p w:rsidR="009E1BDD" w:rsidRDefault="00201AA6" w:rsidP="00C621C2">
      <w:pPr>
        <w:pStyle w:val="ECHRPara"/>
      </w:pPr>
      <w:r>
        <w:fldChar w:fldCharType="begin"/>
      </w:r>
      <w:r>
        <w:instrText xml:space="preserve"> SEQ level0 \*arabic </w:instrText>
      </w:r>
      <w:r>
        <w:fldChar w:fldCharType="separate"/>
      </w:r>
      <w:r w:rsidR="00D21AD2">
        <w:rPr>
          <w:noProof/>
        </w:rPr>
        <w:t>98</w:t>
      </w:r>
      <w:r>
        <w:fldChar w:fldCharType="end"/>
      </w:r>
      <w:r>
        <w:t>.  </w:t>
      </w:r>
      <w:r w:rsidR="00640789">
        <w:t>In the applicants</w:t>
      </w:r>
      <w:r w:rsidR="00BA3D89">
        <w:t>’</w:t>
      </w:r>
      <w:r w:rsidR="00640789">
        <w:t xml:space="preserve"> view, th</w:t>
      </w:r>
      <w:r>
        <w:t>e above circumstances also disclosed a breach of Article 13, since the</w:t>
      </w:r>
      <w:r w:rsidR="00640789">
        <w:t>y</w:t>
      </w:r>
      <w:r>
        <w:t xml:space="preserve"> had failed to obtain</w:t>
      </w:r>
      <w:r w:rsidR="00520B10">
        <w:t xml:space="preserve"> a</w:t>
      </w:r>
      <w:r>
        <w:t xml:space="preserve"> meaningful review of their claims of fear for life and security </w:t>
      </w:r>
      <w:r w:rsidR="007B05A7">
        <w:t>if</w:t>
      </w:r>
      <w:r>
        <w:t xml:space="preserve"> return</w:t>
      </w:r>
      <w:r w:rsidR="007B05A7">
        <w:t>ed</w:t>
      </w:r>
      <w:r>
        <w:t xml:space="preserve">, </w:t>
      </w:r>
      <w:r w:rsidR="00E73D18">
        <w:t xml:space="preserve">in </w:t>
      </w:r>
      <w:r>
        <w:t>any of the procedures used.</w:t>
      </w:r>
    </w:p>
    <w:p w:rsidR="009E1BDD" w:rsidRDefault="001A7F28" w:rsidP="004F556D">
      <w:pPr>
        <w:pStyle w:val="ECHRHeading2"/>
      </w:pPr>
      <w:r>
        <w:t>B</w:t>
      </w:r>
      <w:r w:rsidRPr="00062973">
        <w:t>.  </w:t>
      </w:r>
      <w:r>
        <w:t>The Court</w:t>
      </w:r>
      <w:r w:rsidR="00BA3D89">
        <w:t>’</w:t>
      </w:r>
      <w:r>
        <w:t>s assessment</w:t>
      </w:r>
    </w:p>
    <w:p w:rsidR="001A7F28" w:rsidRPr="00E83AD8" w:rsidRDefault="001A7F28" w:rsidP="00E83AD8">
      <w:pPr>
        <w:pStyle w:val="ECHRHeading3"/>
      </w:pPr>
      <w:r w:rsidRPr="00E83AD8">
        <w:t>1.  Admissibility</w:t>
      </w:r>
    </w:p>
    <w:p w:rsidR="009E1BDD" w:rsidRDefault="004F556D" w:rsidP="00E83AD8">
      <w:pPr>
        <w:pStyle w:val="ECHRPara"/>
      </w:pPr>
      <w:r>
        <w:fldChar w:fldCharType="begin"/>
      </w:r>
      <w:r>
        <w:instrText xml:space="preserve"> SEQ level0 \*arabic </w:instrText>
      </w:r>
      <w:r>
        <w:fldChar w:fldCharType="separate"/>
      </w:r>
      <w:r w:rsidR="00D21AD2">
        <w:rPr>
          <w:noProof/>
        </w:rPr>
        <w:t>99</w:t>
      </w:r>
      <w:r>
        <w:fldChar w:fldCharType="end"/>
      </w:r>
      <w:r>
        <w:t xml:space="preserve">.  The Court should first address the </w:t>
      </w:r>
      <w:r w:rsidR="00F34C8B">
        <w:t>Government</w:t>
      </w:r>
      <w:r w:rsidR="00BA3D89">
        <w:t>’</w:t>
      </w:r>
      <w:r w:rsidR="00F34C8B">
        <w:t>s</w:t>
      </w:r>
      <w:r>
        <w:t xml:space="preserve"> argument of non</w:t>
      </w:r>
      <w:r w:rsidR="00965E4D">
        <w:noBreakHyphen/>
      </w:r>
      <w:r>
        <w:t xml:space="preserve">exhaustion. </w:t>
      </w:r>
      <w:r w:rsidR="00DB15AD">
        <w:t xml:space="preserve">It notes </w:t>
      </w:r>
      <w:r w:rsidR="00201AA6">
        <w:t>that the applicants had</w:t>
      </w:r>
      <w:r w:rsidR="00DB15AD">
        <w:t xml:space="preserve"> </w:t>
      </w:r>
      <w:r w:rsidR="002A7242">
        <w:t>raised the</w:t>
      </w:r>
      <w:r w:rsidR="00201AA6">
        <w:t xml:space="preserve">ir </w:t>
      </w:r>
      <w:r w:rsidR="002A7242">
        <w:t xml:space="preserve">fears of treatment in breach of Articles 2 and 3 </w:t>
      </w:r>
      <w:r w:rsidR="007B05A7">
        <w:t>if</w:t>
      </w:r>
      <w:r w:rsidR="002A7242">
        <w:t xml:space="preserve"> </w:t>
      </w:r>
      <w:r w:rsidR="00201AA6">
        <w:t>return</w:t>
      </w:r>
      <w:r w:rsidR="007B05A7">
        <w:t>ed</w:t>
      </w:r>
      <w:r w:rsidR="002A7242">
        <w:t xml:space="preserve"> to Syria in three types of </w:t>
      </w:r>
      <w:r w:rsidR="00201AA6">
        <w:t>procedure: those concerning their administrative expulsion</w:t>
      </w:r>
      <w:r w:rsidR="006D3108">
        <w:t xml:space="preserve"> for illegal residence</w:t>
      </w:r>
      <w:r w:rsidR="00201AA6">
        <w:t xml:space="preserve">, </w:t>
      </w:r>
      <w:r w:rsidR="003B39F4">
        <w:t xml:space="preserve">and </w:t>
      </w:r>
      <w:r w:rsidR="00201AA6">
        <w:t>those concerning refugee status and temporary asylum. The applicants claim</w:t>
      </w:r>
      <w:r w:rsidR="003B39F4">
        <w:t>ed</w:t>
      </w:r>
      <w:r w:rsidR="00201AA6">
        <w:t xml:space="preserve"> that while the administrative expulsion proceedings ha</w:t>
      </w:r>
      <w:r w:rsidR="003B39F4">
        <w:t>d</w:t>
      </w:r>
      <w:r w:rsidR="00201AA6">
        <w:t xml:space="preserve"> been completed and the decisions of the courts to expel them remained in force, the </w:t>
      </w:r>
      <w:r w:rsidR="00C069BF">
        <w:t>determination</w:t>
      </w:r>
      <w:r w:rsidR="00201AA6">
        <w:t xml:space="preserve"> </w:t>
      </w:r>
      <w:r w:rsidR="00C069BF">
        <w:t>o</w:t>
      </w:r>
      <w:r w:rsidR="00201AA6">
        <w:t xml:space="preserve">f </w:t>
      </w:r>
      <w:r w:rsidR="003B39F4">
        <w:t xml:space="preserve">their </w:t>
      </w:r>
      <w:r w:rsidR="00201AA6">
        <w:t>refugee status and temporary asylum had turned out to be ineffective and inaccessible</w:t>
      </w:r>
      <w:r w:rsidR="00853DD4">
        <w:t>.</w:t>
      </w:r>
    </w:p>
    <w:p w:rsidR="003A0B51" w:rsidRPr="003A4FE9" w:rsidRDefault="003A0B51" w:rsidP="003A4FE9">
      <w:pPr>
        <w:pStyle w:val="ECHRPara"/>
        <w:rPr>
          <w:i/>
        </w:rPr>
      </w:pPr>
      <w:r>
        <w:fldChar w:fldCharType="begin"/>
      </w:r>
      <w:r>
        <w:instrText xml:space="preserve"> SEQ level0 \*arabic </w:instrText>
      </w:r>
      <w:r>
        <w:fldChar w:fldCharType="separate"/>
      </w:r>
      <w:r w:rsidR="00D21AD2">
        <w:rPr>
          <w:noProof/>
        </w:rPr>
        <w:t>100</w:t>
      </w:r>
      <w:r>
        <w:fldChar w:fldCharType="end"/>
      </w:r>
      <w:r>
        <w:t xml:space="preserve">.  The Court first notes that Russian legislation prohibits </w:t>
      </w:r>
      <w:r w:rsidR="00407CA1">
        <w:t xml:space="preserve">the </w:t>
      </w:r>
      <w:r>
        <w:t xml:space="preserve">removal of persons whose requests for refugee status and/or temporary asylum are pending (see paragraphs </w:t>
      </w:r>
      <w:r w:rsidR="00E83AD8">
        <w:rPr>
          <w:noProof/>
        </w:rPr>
        <w:t>66</w:t>
      </w:r>
      <w:r w:rsidR="00EF01F7">
        <w:t xml:space="preserve"> </w:t>
      </w:r>
      <w:r w:rsidR="005A08C4" w:rsidRPr="00EF01F7">
        <w:t xml:space="preserve">and </w:t>
      </w:r>
      <w:r w:rsidR="00E83AD8">
        <w:rPr>
          <w:noProof/>
        </w:rPr>
        <w:t>67</w:t>
      </w:r>
      <w:r w:rsidR="0030543C">
        <w:t xml:space="preserve"> </w:t>
      </w:r>
      <w:r>
        <w:t xml:space="preserve">above). </w:t>
      </w:r>
      <w:r w:rsidR="00640789">
        <w:t>It</w:t>
      </w:r>
      <w:r>
        <w:t xml:space="preserve"> </w:t>
      </w:r>
      <w:r w:rsidR="00963554">
        <w:t>points out</w:t>
      </w:r>
      <w:r>
        <w:t xml:space="preserve"> tha</w:t>
      </w:r>
      <w:r w:rsidRPr="00E83AD8">
        <w:t xml:space="preserve">t where an applicant seeks to prevent his or her removal from a Contracting State, a remedy will only be effective if it has </w:t>
      </w:r>
      <w:r w:rsidR="006D3108" w:rsidRPr="00E83AD8">
        <w:t xml:space="preserve">automatic </w:t>
      </w:r>
      <w:proofErr w:type="spellStart"/>
      <w:r w:rsidRPr="00E83AD8">
        <w:t>suspensive</w:t>
      </w:r>
      <w:proofErr w:type="spellEnd"/>
      <w:r w:rsidRPr="00E83AD8">
        <w:t xml:space="preserve"> effect. Conversely, where a remedy does have </w:t>
      </w:r>
      <w:r w:rsidR="003A4FE9" w:rsidRPr="00E83AD8">
        <w:t xml:space="preserve">automatic </w:t>
      </w:r>
      <w:proofErr w:type="spellStart"/>
      <w:r w:rsidRPr="00E83AD8">
        <w:t>suspensive</w:t>
      </w:r>
      <w:proofErr w:type="spellEnd"/>
      <w:r w:rsidRPr="00E83AD8">
        <w:t xml:space="preserve"> effect, the applicant will normally be required to </w:t>
      </w:r>
      <w:r w:rsidR="00963554" w:rsidRPr="00E83AD8">
        <w:t>use</w:t>
      </w:r>
      <w:r w:rsidRPr="00E83AD8">
        <w:t xml:space="preserve"> that remedy. Judicial review, where it is available and where the lodging of an application for judicial review will operate as a bar to removal, must be regarded as an effective remedy which</w:t>
      </w:r>
      <w:r w:rsidR="00963554" w:rsidRPr="00E83AD8">
        <w:t>,</w:t>
      </w:r>
      <w:r w:rsidRPr="00E83AD8">
        <w:t xml:space="preserve"> in principle</w:t>
      </w:r>
      <w:r w:rsidR="00963554" w:rsidRPr="00E83AD8">
        <w:t>,</w:t>
      </w:r>
      <w:r w:rsidRPr="00E83AD8">
        <w:t xml:space="preserve"> applicants will be required to exhaust before lodging an application with the Court or indeed requesting interim measures </w:t>
      </w:r>
      <w:r w:rsidRPr="00E83AD8">
        <w:lastRenderedPageBreak/>
        <w:t>under Rule 39 of the Rules of Court to delay a removal (</w:t>
      </w:r>
      <w:r w:rsidR="00963554" w:rsidRPr="00E83AD8">
        <w:t xml:space="preserve">see </w:t>
      </w:r>
      <w:r w:rsidRPr="00B668D2">
        <w:rPr>
          <w:i/>
        </w:rPr>
        <w:t>NA. v.</w:t>
      </w:r>
      <w:r w:rsidR="00965E4D">
        <w:rPr>
          <w:i/>
        </w:rPr>
        <w:t> </w:t>
      </w:r>
      <w:r w:rsidRPr="00B668D2">
        <w:rPr>
          <w:i/>
        </w:rPr>
        <w:t>the</w:t>
      </w:r>
      <w:r w:rsidR="00965E4D">
        <w:rPr>
          <w:i/>
        </w:rPr>
        <w:t> </w:t>
      </w:r>
      <w:r w:rsidRPr="00B668D2">
        <w:rPr>
          <w:i/>
        </w:rPr>
        <w:t>United Kingdom</w:t>
      </w:r>
      <w:r w:rsidR="00EF01F7">
        <w:t>, no. 25904/07, § </w:t>
      </w:r>
      <w:r w:rsidR="00D41FFD">
        <w:t>90</w:t>
      </w:r>
      <w:r w:rsidRPr="00B668D2">
        <w:t>, 17 July 2008</w:t>
      </w:r>
      <w:r w:rsidR="00D41FFD">
        <w:t>;</w:t>
      </w:r>
      <w:r w:rsidR="00640789">
        <w:t xml:space="preserve"> and</w:t>
      </w:r>
      <w:r w:rsidR="00D41FFD">
        <w:t>,</w:t>
      </w:r>
      <w:r>
        <w:t xml:space="preserve"> </w:t>
      </w:r>
      <w:r w:rsidR="00D41FFD">
        <w:t xml:space="preserve">by </w:t>
      </w:r>
      <w:r>
        <w:t>contrast</w:t>
      </w:r>
      <w:r w:rsidR="00D41FFD">
        <w:t>,</w:t>
      </w:r>
      <w:r>
        <w:t xml:space="preserve"> </w:t>
      </w:r>
      <w:r w:rsidRPr="004420F1">
        <w:rPr>
          <w:i/>
        </w:rPr>
        <w:t>M.A</w:t>
      </w:r>
      <w:r>
        <w:t xml:space="preserve">. </w:t>
      </w:r>
      <w:r w:rsidRPr="00E83AD8">
        <w:t>v Cyprus, no. 41872/10, §§</w:t>
      </w:r>
      <w:r w:rsidR="00D41FFD" w:rsidRPr="00E83AD8">
        <w:t xml:space="preserve"> 131-</w:t>
      </w:r>
      <w:r w:rsidRPr="00E83AD8">
        <w:t>43, 23 July 2013</w:t>
      </w:r>
      <w:r w:rsidR="003A4FE9" w:rsidRPr="00E83AD8">
        <w:t xml:space="preserve">; see also </w:t>
      </w:r>
      <w:proofErr w:type="spellStart"/>
      <w:r w:rsidR="003A4FE9">
        <w:rPr>
          <w:i/>
          <w:lang w:val="en-US"/>
        </w:rPr>
        <w:t>Gayratbek</w:t>
      </w:r>
      <w:proofErr w:type="spellEnd"/>
      <w:r w:rsidR="003A4FE9">
        <w:rPr>
          <w:i/>
          <w:lang w:val="en-US"/>
        </w:rPr>
        <w:t xml:space="preserve"> </w:t>
      </w:r>
      <w:proofErr w:type="spellStart"/>
      <w:r w:rsidR="003A4FE9">
        <w:rPr>
          <w:i/>
          <w:lang w:val="en-US"/>
        </w:rPr>
        <w:t>Saliyev</w:t>
      </w:r>
      <w:proofErr w:type="spellEnd"/>
      <w:r w:rsidR="003A4FE9">
        <w:rPr>
          <w:lang w:val="en-US"/>
        </w:rPr>
        <w:t xml:space="preserve"> </w:t>
      </w:r>
      <w:r w:rsidR="003A4FE9" w:rsidRPr="006A6265">
        <w:rPr>
          <w:i/>
          <w:lang w:val="en-US"/>
        </w:rPr>
        <w:t>v. Russia</w:t>
      </w:r>
      <w:r w:rsidR="003A4FE9" w:rsidRPr="006A6265">
        <w:rPr>
          <w:lang w:val="en-US"/>
        </w:rPr>
        <w:t>, no. 39093/13</w:t>
      </w:r>
      <w:r w:rsidR="003A4FE9">
        <w:rPr>
          <w:snapToGrid w:val="0"/>
          <w:color w:val="000000"/>
          <w:lang w:val="en-US"/>
        </w:rPr>
        <w:t>, § 41, 17 April 2014, where the Government admit</w:t>
      </w:r>
      <w:r w:rsidR="00B67C67">
        <w:rPr>
          <w:snapToGrid w:val="0"/>
          <w:color w:val="000000"/>
          <w:lang w:val="en-US"/>
        </w:rPr>
        <w:t>ted</w:t>
      </w:r>
      <w:r w:rsidR="003A4FE9">
        <w:rPr>
          <w:snapToGrid w:val="0"/>
          <w:color w:val="000000"/>
          <w:lang w:val="en-US"/>
        </w:rPr>
        <w:t xml:space="preserve"> that the remedies which have no automatic </w:t>
      </w:r>
      <w:proofErr w:type="spellStart"/>
      <w:r w:rsidR="003A4FE9" w:rsidRPr="00E83AD8">
        <w:t>suspensive</w:t>
      </w:r>
      <w:proofErr w:type="spellEnd"/>
      <w:r w:rsidR="003A4FE9" w:rsidRPr="00E83AD8">
        <w:t xml:space="preserve"> </w:t>
      </w:r>
      <w:r w:rsidR="003A4FE9">
        <w:rPr>
          <w:snapToGrid w:val="0"/>
          <w:color w:val="000000"/>
          <w:lang w:val="en-US"/>
        </w:rPr>
        <w:t>effect in the context of extradition are not effective</w:t>
      </w:r>
      <w:r w:rsidRPr="00E83AD8">
        <w:t>).</w:t>
      </w:r>
    </w:p>
    <w:p w:rsidR="009E1BDD" w:rsidRDefault="003A0B51" w:rsidP="003A0B51">
      <w:pPr>
        <w:pStyle w:val="ECHRPara"/>
        <w:rPr>
          <w:snapToGrid w:val="0"/>
          <w:szCs w:val="24"/>
        </w:rPr>
      </w:pPr>
      <w:r>
        <w:fldChar w:fldCharType="begin"/>
      </w:r>
      <w:r>
        <w:instrText xml:space="preserve"> SEQ level0 \*arabic </w:instrText>
      </w:r>
      <w:r>
        <w:fldChar w:fldCharType="separate"/>
      </w:r>
      <w:r w:rsidR="00D21AD2">
        <w:rPr>
          <w:noProof/>
        </w:rPr>
        <w:t>101</w:t>
      </w:r>
      <w:r>
        <w:fldChar w:fldCharType="end"/>
      </w:r>
      <w:r>
        <w:t>.  The Court further agrees that the successful outcome of proceedings for the determination of refugee status and/or temporary asylum could offer a real possibility for applicants to regularise their situation and obtain formal guarantees of non-</w:t>
      </w:r>
      <w:proofErr w:type="spellStart"/>
      <w:r>
        <w:t>refoulement</w:t>
      </w:r>
      <w:proofErr w:type="spellEnd"/>
      <w:r>
        <w:t xml:space="preserve"> for the duration of </w:t>
      </w:r>
      <w:r w:rsidR="00963554">
        <w:t>that</w:t>
      </w:r>
      <w:r>
        <w:t xml:space="preserve"> status. The Court ha</w:t>
      </w:r>
      <w:r w:rsidR="00640789">
        <w:t>s</w:t>
      </w:r>
      <w:r>
        <w:t xml:space="preserve"> previously found </w:t>
      </w:r>
      <w:r w:rsidR="00640789">
        <w:t xml:space="preserve">that </w:t>
      </w:r>
      <w:r>
        <w:t xml:space="preserve">such solutions constitute part of an effective national remedy where the </w:t>
      </w:r>
      <w:r w:rsidRPr="00E83AD8">
        <w:t>regularisation of</w:t>
      </w:r>
      <w:r w:rsidR="00963554" w:rsidRPr="00E83AD8">
        <w:t xml:space="preserve"> an</w:t>
      </w:r>
      <w:r w:rsidRPr="00E83AD8">
        <w:t xml:space="preserve"> applicant</w:t>
      </w:r>
      <w:r w:rsidR="00BA3D89">
        <w:t>’</w:t>
      </w:r>
      <w:r w:rsidRPr="00E83AD8">
        <w:t>s immigration status through the procedure of temporary asylum and the granting of a temporary residence permit on that basis</w:t>
      </w:r>
      <w:r>
        <w:t xml:space="preserve"> was accompanied by </w:t>
      </w:r>
      <w:r w:rsidR="00640789">
        <w:t xml:space="preserve">the </w:t>
      </w:r>
      <w:r>
        <w:t xml:space="preserve">annulment of the extradition and/or expulsion orders (see </w:t>
      </w:r>
      <w:proofErr w:type="spellStart"/>
      <w:r w:rsidRPr="002D2768">
        <w:rPr>
          <w:i/>
        </w:rPr>
        <w:t>Tukhtamurodov</w:t>
      </w:r>
      <w:proofErr w:type="spellEnd"/>
      <w:r w:rsidRPr="002D2768">
        <w:rPr>
          <w:i/>
        </w:rPr>
        <w:t xml:space="preserve"> v. Russia</w:t>
      </w:r>
      <w:r>
        <w:t xml:space="preserve"> (</w:t>
      </w:r>
      <w:proofErr w:type="spellStart"/>
      <w:r>
        <w:t>dec.</w:t>
      </w:r>
      <w:proofErr w:type="spellEnd"/>
      <w:r>
        <w:t>), no. 21762/14, § 37, 20 January 2015</w:t>
      </w:r>
      <w:r w:rsidR="00963554">
        <w:t>,</w:t>
      </w:r>
      <w:r w:rsidRPr="00E83AD8">
        <w:t xml:space="preserve"> </w:t>
      </w:r>
      <w:r>
        <w:t xml:space="preserve">and, for similar conclusions in the context of Article 8, </w:t>
      </w:r>
      <w:proofErr w:type="spellStart"/>
      <w:r w:rsidRPr="00EF3ECC">
        <w:rPr>
          <w:i/>
        </w:rPr>
        <w:t>Ewalaka-Koumou</w:t>
      </w:r>
      <w:proofErr w:type="spellEnd"/>
      <w:r w:rsidRPr="00EF3ECC">
        <w:rPr>
          <w:i/>
        </w:rPr>
        <w:t xml:space="preserve"> v.</w:t>
      </w:r>
      <w:r w:rsidR="00965E4D">
        <w:rPr>
          <w:i/>
        </w:rPr>
        <w:t> </w:t>
      </w:r>
      <w:r w:rsidRPr="00EF3ECC">
        <w:rPr>
          <w:i/>
        </w:rPr>
        <w:t>Russia</w:t>
      </w:r>
      <w:r>
        <w:t xml:space="preserve"> (</w:t>
      </w:r>
      <w:proofErr w:type="spellStart"/>
      <w:r>
        <w:t>dec.</w:t>
      </w:r>
      <w:proofErr w:type="spellEnd"/>
      <w:r>
        <w:t xml:space="preserve">), no. 20953/03, 4 February 2010). </w:t>
      </w:r>
      <w:r w:rsidR="0002555D" w:rsidRPr="00E83AD8">
        <w:t xml:space="preserve">The </w:t>
      </w:r>
      <w:r w:rsidR="00301FA7" w:rsidRPr="00E83AD8">
        <w:t xml:space="preserve">Court regards the </w:t>
      </w:r>
      <w:r w:rsidR="00C57510" w:rsidRPr="00E83AD8">
        <w:t xml:space="preserve">relevant </w:t>
      </w:r>
      <w:r w:rsidR="0002555D" w:rsidRPr="00E83AD8">
        <w:t xml:space="preserve">information submitted </w:t>
      </w:r>
      <w:r w:rsidR="00C57510" w:rsidRPr="00E83AD8">
        <w:t xml:space="preserve">by applicants </w:t>
      </w:r>
      <w:r w:rsidR="0002555D" w:rsidRPr="00E83AD8">
        <w:t xml:space="preserve">to the </w:t>
      </w:r>
      <w:r w:rsidR="00963554" w:rsidRPr="00E83AD8">
        <w:t>im</w:t>
      </w:r>
      <w:r w:rsidR="0002555D" w:rsidRPr="00E83AD8">
        <w:t>migration authorities as a</w:t>
      </w:r>
      <w:r w:rsidR="00301FA7" w:rsidRPr="00E83AD8">
        <w:t>n integral</w:t>
      </w:r>
      <w:r w:rsidR="0002555D" w:rsidRPr="00E83AD8">
        <w:t xml:space="preserve"> part </w:t>
      </w:r>
      <w:r w:rsidR="00301FA7" w:rsidRPr="00E83AD8">
        <w:t>justifying</w:t>
      </w:r>
      <w:r w:rsidR="00C57510" w:rsidRPr="00E83AD8">
        <w:t xml:space="preserve"> </w:t>
      </w:r>
      <w:r w:rsidR="00301FA7" w:rsidRPr="00E83AD8">
        <w:t xml:space="preserve">their </w:t>
      </w:r>
      <w:r w:rsidR="0002555D" w:rsidRPr="00E83AD8">
        <w:t xml:space="preserve">claims of </w:t>
      </w:r>
      <w:r w:rsidR="00963554" w:rsidRPr="00E83AD8">
        <w:t xml:space="preserve">a </w:t>
      </w:r>
      <w:r w:rsidR="0002555D" w:rsidRPr="00E83AD8">
        <w:t xml:space="preserve">fear of treatment in breach of Article 3 (see </w:t>
      </w:r>
      <w:r w:rsidR="0002555D" w:rsidRPr="00B668D2">
        <w:rPr>
          <w:i/>
        </w:rPr>
        <w:t>Y. v. Russia</w:t>
      </w:r>
      <w:r w:rsidR="0002555D">
        <w:t>, no. 20113/07, §§ 87-88</w:t>
      </w:r>
      <w:r w:rsidR="0002555D" w:rsidRPr="00B668D2">
        <w:t>, 4 December 2008</w:t>
      </w:r>
      <w:r w:rsidR="0002555D">
        <w:t xml:space="preserve">; </w:t>
      </w:r>
      <w:proofErr w:type="spellStart"/>
      <w:r w:rsidR="00C57510" w:rsidRPr="00B668D2">
        <w:rPr>
          <w:i/>
        </w:rPr>
        <w:t>Shakurov</w:t>
      </w:r>
      <w:proofErr w:type="spellEnd"/>
      <w:r w:rsidR="00C57510" w:rsidRPr="00B668D2">
        <w:rPr>
          <w:i/>
        </w:rPr>
        <w:t xml:space="preserve"> v. Russia</w:t>
      </w:r>
      <w:r w:rsidR="00C57510" w:rsidRPr="00B668D2">
        <w:t>, no. 55822/10</w:t>
      </w:r>
      <w:r w:rsidR="00C57510">
        <w:rPr>
          <w:snapToGrid w:val="0"/>
          <w:szCs w:val="24"/>
        </w:rPr>
        <w:t>, §§ 132-13</w:t>
      </w:r>
      <w:r w:rsidR="00C57510" w:rsidRPr="00B668D2">
        <w:rPr>
          <w:snapToGrid w:val="0"/>
          <w:szCs w:val="24"/>
        </w:rPr>
        <w:t>, 5 June 2012</w:t>
      </w:r>
      <w:r w:rsidR="00C57510">
        <w:rPr>
          <w:snapToGrid w:val="0"/>
          <w:szCs w:val="24"/>
        </w:rPr>
        <w:t xml:space="preserve">; and </w:t>
      </w:r>
      <w:proofErr w:type="spellStart"/>
      <w:r w:rsidR="00134A95">
        <w:rPr>
          <w:i/>
        </w:rPr>
        <w:t>Kozhayev</w:t>
      </w:r>
      <w:proofErr w:type="spellEnd"/>
      <w:r w:rsidR="00134A95">
        <w:rPr>
          <w:i/>
        </w:rPr>
        <w:t xml:space="preserve"> v. </w:t>
      </w:r>
      <w:r w:rsidR="00C57510" w:rsidRPr="00B668D2">
        <w:rPr>
          <w:i/>
        </w:rPr>
        <w:t>Russia</w:t>
      </w:r>
      <w:r w:rsidR="00C57510" w:rsidRPr="00B668D2">
        <w:t>, no. 60045/10</w:t>
      </w:r>
      <w:r w:rsidR="00C57510" w:rsidRPr="00B668D2">
        <w:rPr>
          <w:snapToGrid w:val="0"/>
          <w:szCs w:val="24"/>
        </w:rPr>
        <w:t xml:space="preserve">, §§ </w:t>
      </w:r>
      <w:r w:rsidR="00C57510">
        <w:rPr>
          <w:snapToGrid w:val="0"/>
          <w:szCs w:val="24"/>
        </w:rPr>
        <w:t>85-87,</w:t>
      </w:r>
      <w:r w:rsidR="00C57510" w:rsidRPr="00B668D2">
        <w:rPr>
          <w:snapToGrid w:val="0"/>
          <w:szCs w:val="24"/>
        </w:rPr>
        <w:t xml:space="preserve"> 5 June 2012</w:t>
      </w:r>
      <w:r w:rsidR="00C57510">
        <w:rPr>
          <w:snapToGrid w:val="0"/>
          <w:szCs w:val="24"/>
        </w:rPr>
        <w:t>).</w:t>
      </w:r>
    </w:p>
    <w:p w:rsidR="009E1BDD" w:rsidRDefault="003A0B51" w:rsidP="003A0B51">
      <w:pPr>
        <w:pStyle w:val="ECHRPara"/>
        <w:rPr>
          <w:snapToGrid w:val="0"/>
        </w:rPr>
      </w:pPr>
      <w:r>
        <w:fldChar w:fldCharType="begin"/>
      </w:r>
      <w:r>
        <w:instrText xml:space="preserve"> SEQ level0 \*arabic </w:instrText>
      </w:r>
      <w:r>
        <w:fldChar w:fldCharType="separate"/>
      </w:r>
      <w:r w:rsidR="00D21AD2">
        <w:rPr>
          <w:noProof/>
        </w:rPr>
        <w:t>102</w:t>
      </w:r>
      <w:r>
        <w:fldChar w:fldCharType="end"/>
      </w:r>
      <w:r>
        <w:t>.  At the same time, the Court notes that, in the context</w:t>
      </w:r>
      <w:r w:rsidR="00963554">
        <w:t xml:space="preserve"> of Russia</w:t>
      </w:r>
      <w:r>
        <w:t>, the decision ordering</w:t>
      </w:r>
      <w:r w:rsidR="00093BE7">
        <w:t xml:space="preserve"> an</w:t>
      </w:r>
      <w:r>
        <w:t xml:space="preserve"> applicant</w:t>
      </w:r>
      <w:r w:rsidR="00BA3D89">
        <w:t>’</w:t>
      </w:r>
      <w:r w:rsidR="00093BE7">
        <w:t>s</w:t>
      </w:r>
      <w:r>
        <w:t xml:space="preserve"> removal from the territory in extradition or administrative expulsion proceedings remains valid despite the lodging of an application for refugee status and/or temporary asylum.</w:t>
      </w:r>
      <w:r w:rsidRPr="00F76FCF">
        <w:t xml:space="preserve"> </w:t>
      </w:r>
      <w:r>
        <w:t xml:space="preserve">Consequently, in reviewing such complaints the Court </w:t>
      </w:r>
      <w:r w:rsidR="00963554">
        <w:t xml:space="preserve">has </w:t>
      </w:r>
      <w:r>
        <w:t xml:space="preserve">focused primarily on these proceedings as constituting the basis for the complaint brought under Article 3. It has found that while ruling on the question of </w:t>
      </w:r>
      <w:r w:rsidR="00963554">
        <w:t xml:space="preserve">the </w:t>
      </w:r>
      <w:r>
        <w:t xml:space="preserve">possibility of removal, </w:t>
      </w:r>
      <w:r w:rsidRPr="00E83AD8">
        <w:t>the scope of review by the domestic authorities, including</w:t>
      </w:r>
      <w:r w:rsidR="00963554" w:rsidRPr="00E83AD8">
        <w:t xml:space="preserve"> the</w:t>
      </w:r>
      <w:r w:rsidRPr="00E83AD8">
        <w:t xml:space="preserve"> courts, should include relevant arguments of ill-treatment raised by the applicants, in view of the absolute nature of Article 3 (see </w:t>
      </w:r>
      <w:proofErr w:type="spellStart"/>
      <w:r w:rsidRPr="00805B1C">
        <w:rPr>
          <w:i/>
        </w:rPr>
        <w:t>Egamberdiyev</w:t>
      </w:r>
      <w:proofErr w:type="spellEnd"/>
      <w:r w:rsidRPr="00805B1C">
        <w:rPr>
          <w:i/>
        </w:rPr>
        <w:t xml:space="preserve"> v.</w:t>
      </w:r>
      <w:r w:rsidR="00965E4D">
        <w:rPr>
          <w:i/>
        </w:rPr>
        <w:t> </w:t>
      </w:r>
      <w:r w:rsidRPr="00805B1C">
        <w:rPr>
          <w:i/>
        </w:rPr>
        <w:t>Russia</w:t>
      </w:r>
      <w:r w:rsidR="006B6C59">
        <w:t>, no. </w:t>
      </w:r>
      <w:r w:rsidRPr="00805B1C">
        <w:t>34742/13</w:t>
      </w:r>
      <w:r>
        <w:rPr>
          <w:snapToGrid w:val="0"/>
        </w:rPr>
        <w:t>, § 44, 26 June 2014</w:t>
      </w:r>
      <w:r w:rsidR="002A7832">
        <w:rPr>
          <w:snapToGrid w:val="0"/>
        </w:rPr>
        <w:t>, and</w:t>
      </w:r>
      <w:r>
        <w:rPr>
          <w:snapToGrid w:val="0"/>
        </w:rPr>
        <w:t xml:space="preserve"> </w:t>
      </w:r>
      <w:proofErr w:type="spellStart"/>
      <w:r w:rsidRPr="00965E4D">
        <w:rPr>
          <w:i/>
        </w:rPr>
        <w:t>Khalikov</w:t>
      </w:r>
      <w:proofErr w:type="spellEnd"/>
      <w:r w:rsidRPr="00965E4D">
        <w:rPr>
          <w:i/>
        </w:rPr>
        <w:t xml:space="preserve"> v. Russia</w:t>
      </w:r>
      <w:r w:rsidRPr="00965E4D">
        <w:t>, no.</w:t>
      </w:r>
      <w:r w:rsidR="00965E4D" w:rsidRPr="00965E4D">
        <w:t> </w:t>
      </w:r>
      <w:r w:rsidRPr="00965E4D">
        <w:t>66373/13</w:t>
      </w:r>
      <w:r w:rsidRPr="00965E4D">
        <w:rPr>
          <w:snapToGrid w:val="0"/>
        </w:rPr>
        <w:t xml:space="preserve">, § 37, </w:t>
      </w:r>
      <w:r w:rsidR="00640789" w:rsidRPr="00965E4D">
        <w:rPr>
          <w:snapToGrid w:val="0"/>
        </w:rPr>
        <w:t>6 July 2015</w:t>
      </w:r>
      <w:r>
        <w:rPr>
          <w:snapToGrid w:val="0"/>
        </w:rPr>
        <w:t>).</w:t>
      </w:r>
    </w:p>
    <w:p w:rsidR="009E1BDD" w:rsidRDefault="003A0B51" w:rsidP="003A0B51">
      <w:pPr>
        <w:pStyle w:val="ECHRPara"/>
      </w:pPr>
      <w:r w:rsidRPr="00BC37D6">
        <w:fldChar w:fldCharType="begin"/>
      </w:r>
      <w:r w:rsidRPr="00BC37D6">
        <w:instrText xml:space="preserve"> SEQ level0 \*arabic </w:instrText>
      </w:r>
      <w:r w:rsidRPr="00BC37D6">
        <w:fldChar w:fldCharType="separate"/>
      </w:r>
      <w:r w:rsidR="00D21AD2">
        <w:rPr>
          <w:noProof/>
        </w:rPr>
        <w:t>103</w:t>
      </w:r>
      <w:r w:rsidRPr="00BC37D6">
        <w:fldChar w:fldCharType="end"/>
      </w:r>
      <w:r w:rsidRPr="00BC37D6">
        <w:t>.  </w:t>
      </w:r>
      <w:r>
        <w:rPr>
          <w:snapToGrid w:val="0"/>
        </w:rPr>
        <w:t>It should be re</w:t>
      </w:r>
      <w:r w:rsidR="00963554">
        <w:rPr>
          <w:snapToGrid w:val="0"/>
        </w:rPr>
        <w:t>iterated</w:t>
      </w:r>
      <w:r>
        <w:rPr>
          <w:snapToGrid w:val="0"/>
        </w:rPr>
        <w:t xml:space="preserve">, in this respect, that </w:t>
      </w:r>
      <w:r w:rsidRPr="00E83AD8">
        <w:t>the criteria laid down for granting refugee status are not identical to those used for assessing the risk of treatment contrary to Article 3 of the Convention. Consequently, t</w:t>
      </w:r>
      <w:r>
        <w:t>he fact</w:t>
      </w:r>
      <w:r w:rsidRPr="00BC37D6">
        <w:t xml:space="preserve"> </w:t>
      </w:r>
      <w:r>
        <w:t>that an appeal against such</w:t>
      </w:r>
      <w:r w:rsidR="00963554">
        <w:t xml:space="preserve"> a</w:t>
      </w:r>
      <w:r>
        <w:t xml:space="preserve"> decision </w:t>
      </w:r>
      <w:r w:rsidR="00EF1273">
        <w:t>is</w:t>
      </w:r>
      <w:r>
        <w:t xml:space="preserve"> pending</w:t>
      </w:r>
      <w:r w:rsidRPr="00BC37D6">
        <w:t xml:space="preserve"> d</w:t>
      </w:r>
      <w:r w:rsidR="00963554">
        <w:t>oes</w:t>
      </w:r>
      <w:r w:rsidRPr="00BC37D6">
        <w:t xml:space="preserve"> not, in itself, constitute an obstacle to the Court</w:t>
      </w:r>
      <w:r w:rsidR="00BA3D89">
        <w:t>’</w:t>
      </w:r>
      <w:r w:rsidRPr="00BC37D6">
        <w:t xml:space="preserve">s </w:t>
      </w:r>
      <w:r>
        <w:t>examination</w:t>
      </w:r>
      <w:r w:rsidRPr="00BC37D6">
        <w:t xml:space="preserve"> of the complaint und</w:t>
      </w:r>
      <w:r>
        <w:t xml:space="preserve">er Article 3 on the merits </w:t>
      </w:r>
      <w:r w:rsidR="005A0097">
        <w:t xml:space="preserve">if the expulsion or extradition request remains in force </w:t>
      </w:r>
      <w:r>
        <w:t>(see</w:t>
      </w:r>
      <w:r w:rsidRPr="00BC37D6">
        <w:t xml:space="preserve"> </w:t>
      </w:r>
      <w:proofErr w:type="spellStart"/>
      <w:r w:rsidRPr="00BC37D6">
        <w:rPr>
          <w:i/>
        </w:rPr>
        <w:t>Kasymakhunov</w:t>
      </w:r>
      <w:proofErr w:type="spellEnd"/>
      <w:r w:rsidRPr="00BC37D6">
        <w:rPr>
          <w:i/>
        </w:rPr>
        <w:t xml:space="preserve"> v. Russia</w:t>
      </w:r>
      <w:r w:rsidRPr="00BC37D6">
        <w:rPr>
          <w:snapToGrid w:val="0"/>
        </w:rPr>
        <w:t xml:space="preserve">, </w:t>
      </w:r>
      <w:r w:rsidRPr="00BC37D6">
        <w:t>no. 29604/12</w:t>
      </w:r>
      <w:r w:rsidRPr="00BC37D6">
        <w:rPr>
          <w:snapToGrid w:val="0"/>
        </w:rPr>
        <w:t xml:space="preserve">, § 125, 14 November 2013; </w:t>
      </w:r>
      <w:proofErr w:type="spellStart"/>
      <w:r w:rsidRPr="00BC37D6">
        <w:rPr>
          <w:i/>
        </w:rPr>
        <w:t>Rakhimov</w:t>
      </w:r>
      <w:proofErr w:type="spellEnd"/>
      <w:r w:rsidRPr="00BC37D6">
        <w:rPr>
          <w:i/>
        </w:rPr>
        <w:t xml:space="preserve"> </w:t>
      </w:r>
      <w:r w:rsidRPr="00BC37D6">
        <w:rPr>
          <w:i/>
          <w:snapToGrid w:val="0"/>
        </w:rPr>
        <w:t>v. Russia</w:t>
      </w:r>
      <w:r w:rsidRPr="00BC37D6">
        <w:rPr>
          <w:snapToGrid w:val="0"/>
        </w:rPr>
        <w:t xml:space="preserve">, </w:t>
      </w:r>
      <w:r w:rsidRPr="00BC37D6">
        <w:t>no. 50552/13</w:t>
      </w:r>
      <w:r w:rsidRPr="00BC37D6">
        <w:rPr>
          <w:snapToGrid w:val="0"/>
        </w:rPr>
        <w:t xml:space="preserve">, § 94, 10 July 2014; </w:t>
      </w:r>
      <w:r w:rsidR="00963554">
        <w:rPr>
          <w:snapToGrid w:val="0"/>
        </w:rPr>
        <w:t xml:space="preserve">and </w:t>
      </w:r>
      <w:proofErr w:type="spellStart"/>
      <w:r w:rsidRPr="00965E4D">
        <w:rPr>
          <w:i/>
          <w:snapToGrid w:val="0"/>
        </w:rPr>
        <w:t>Khalikov</w:t>
      </w:r>
      <w:proofErr w:type="spellEnd"/>
      <w:r w:rsidRPr="00965E4D">
        <w:rPr>
          <w:snapToGrid w:val="0"/>
        </w:rPr>
        <w:t>, cited above, § 37</w:t>
      </w:r>
      <w:r w:rsidRPr="00BC37D6">
        <w:rPr>
          <w:snapToGrid w:val="0"/>
        </w:rPr>
        <w:t xml:space="preserve">). </w:t>
      </w:r>
      <w:r>
        <w:rPr>
          <w:snapToGrid w:val="0"/>
        </w:rPr>
        <w:t>This approach is guided by the general rule that, i</w:t>
      </w:r>
      <w:r w:rsidRPr="00E83AD8">
        <w:t xml:space="preserve">n the </w:t>
      </w:r>
      <w:r w:rsidRPr="00E83AD8">
        <w:lastRenderedPageBreak/>
        <w:t>event of there being a number of remedies which an individual can pursue, that person is entitled to choose</w:t>
      </w:r>
      <w:r w:rsidR="00093BE7" w:rsidRPr="00E83AD8">
        <w:t xml:space="preserve"> one</w:t>
      </w:r>
      <w:r w:rsidRPr="00E83AD8">
        <w:t xml:space="preserve"> which addresses his or her essential grievance (see </w:t>
      </w:r>
      <w:proofErr w:type="spellStart"/>
      <w:r w:rsidRPr="00E83AD8">
        <w:rPr>
          <w:i/>
        </w:rPr>
        <w:t>Croke</w:t>
      </w:r>
      <w:proofErr w:type="spellEnd"/>
      <w:r w:rsidRPr="00E83AD8">
        <w:rPr>
          <w:i/>
        </w:rPr>
        <w:t xml:space="preserve"> v. Ireland</w:t>
      </w:r>
      <w:r w:rsidRPr="00E83AD8">
        <w:t xml:space="preserve"> (</w:t>
      </w:r>
      <w:proofErr w:type="spellStart"/>
      <w:r w:rsidRPr="00E83AD8">
        <w:t>dec.</w:t>
      </w:r>
      <w:proofErr w:type="spellEnd"/>
      <w:r w:rsidRPr="00E83AD8">
        <w:t>), no. 33267/96, 15 June 1999</w:t>
      </w:r>
      <w:r w:rsidR="00963554" w:rsidRPr="00E83AD8">
        <w:t>,</w:t>
      </w:r>
      <w:r w:rsidRPr="00E83AD8">
        <w:t xml:space="preserve"> and </w:t>
      </w:r>
      <w:proofErr w:type="spellStart"/>
      <w:r w:rsidRPr="0056477C">
        <w:rPr>
          <w:i/>
        </w:rPr>
        <w:t>Jeličić</w:t>
      </w:r>
      <w:proofErr w:type="spellEnd"/>
      <w:r w:rsidRPr="0056477C">
        <w:rPr>
          <w:i/>
        </w:rPr>
        <w:t xml:space="preserve"> v. Bosnia and Herzegovina</w:t>
      </w:r>
      <w:r w:rsidRPr="00E83AD8">
        <w:t xml:space="preserve"> (</w:t>
      </w:r>
      <w:proofErr w:type="spellStart"/>
      <w:r w:rsidRPr="00E83AD8">
        <w:t>dec.</w:t>
      </w:r>
      <w:proofErr w:type="spellEnd"/>
      <w:r w:rsidRPr="00E83AD8">
        <w:t>), no. </w:t>
      </w:r>
      <w:r>
        <w:t>41183/02, 15 November 2005)</w:t>
      </w:r>
      <w:r w:rsidRPr="00E83AD8">
        <w:t>.</w:t>
      </w:r>
    </w:p>
    <w:p w:rsidR="009E1BDD" w:rsidRDefault="00686BE5" w:rsidP="005A0097">
      <w:pPr>
        <w:pStyle w:val="ECHRPara"/>
      </w:pPr>
      <w:r>
        <w:rPr>
          <w:snapToGrid w:val="0"/>
        </w:rPr>
        <w:fldChar w:fldCharType="begin"/>
      </w:r>
      <w:r>
        <w:rPr>
          <w:snapToGrid w:val="0"/>
        </w:rPr>
        <w:instrText xml:space="preserve"> SEQ level0 \*arabic </w:instrText>
      </w:r>
      <w:r>
        <w:rPr>
          <w:snapToGrid w:val="0"/>
        </w:rPr>
        <w:fldChar w:fldCharType="separate"/>
      </w:r>
      <w:r w:rsidR="00D21AD2">
        <w:rPr>
          <w:noProof/>
          <w:snapToGrid w:val="0"/>
        </w:rPr>
        <w:t>104</w:t>
      </w:r>
      <w:r>
        <w:rPr>
          <w:snapToGrid w:val="0"/>
        </w:rPr>
        <w:fldChar w:fldCharType="end"/>
      </w:r>
      <w:r>
        <w:rPr>
          <w:snapToGrid w:val="0"/>
        </w:rPr>
        <w:t>.  </w:t>
      </w:r>
      <w:r w:rsidR="003A0B51">
        <w:rPr>
          <w:snapToGrid w:val="0"/>
        </w:rPr>
        <w:t>In the</w:t>
      </w:r>
      <w:r w:rsidR="003A0B51" w:rsidRPr="00BC37D6">
        <w:rPr>
          <w:snapToGrid w:val="0"/>
        </w:rPr>
        <w:t xml:space="preserve"> present case, </w:t>
      </w:r>
      <w:r w:rsidR="000A57ED">
        <w:rPr>
          <w:snapToGrid w:val="0"/>
        </w:rPr>
        <w:t xml:space="preserve">during </w:t>
      </w:r>
      <w:r w:rsidR="000A57ED">
        <w:t xml:space="preserve">the hearings </w:t>
      </w:r>
      <w:r w:rsidR="00963554">
        <w:t>in</w:t>
      </w:r>
      <w:r w:rsidR="000A57ED">
        <w:t xml:space="preserve"> the Distr</w:t>
      </w:r>
      <w:r w:rsidR="00723D8A">
        <w:t>i</w:t>
      </w:r>
      <w:r w:rsidR="000A57ED">
        <w:t xml:space="preserve">ct Court on the question of expulsion, the applicants referred to the war and danger </w:t>
      </w:r>
      <w:r w:rsidR="00640789">
        <w:t xml:space="preserve">to </w:t>
      </w:r>
      <w:r w:rsidR="000A57ED">
        <w:t>their lives</w:t>
      </w:r>
      <w:r w:rsidR="00640789">
        <w:t xml:space="preserve"> </w:t>
      </w:r>
      <w:r w:rsidR="000A57ED">
        <w:t xml:space="preserve">(see paragraph </w:t>
      </w:r>
      <w:r w:rsidR="00E83AD8">
        <w:rPr>
          <w:noProof/>
        </w:rPr>
        <w:t>11</w:t>
      </w:r>
      <w:r w:rsidR="00EF01F7">
        <w:t xml:space="preserve"> </w:t>
      </w:r>
      <w:r w:rsidR="000A57ED">
        <w:t xml:space="preserve">above). </w:t>
      </w:r>
      <w:r w:rsidR="006D723C">
        <w:t xml:space="preserve">Indeed, these </w:t>
      </w:r>
      <w:r w:rsidR="000A57ED">
        <w:t xml:space="preserve">statements were rather general, </w:t>
      </w:r>
      <w:r w:rsidR="006D723C">
        <w:t xml:space="preserve">but </w:t>
      </w:r>
      <w:r w:rsidR="000A57ED">
        <w:t>the applicants do not speak Russian and, while they seem to have had access to an interpreter, had no legal representative to assist them. It is therefore not surprising that their participation was relatively limited. In their statements of appeal the applicants, assisted by representatives, submitted detailed and corroborated information about the situation in Syria,</w:t>
      </w:r>
      <w:r w:rsidR="00640789">
        <w:t xml:space="preserve"> such as</w:t>
      </w:r>
      <w:r w:rsidR="000A57ED">
        <w:t xml:space="preserve"> heavy fighting raging in the regions of their origin and more individual</w:t>
      </w:r>
      <w:r w:rsidR="006F76B3">
        <w:t>ised</w:t>
      </w:r>
      <w:r w:rsidR="000A57ED">
        <w:t xml:space="preserve"> assessments produced by the UNHCR</w:t>
      </w:r>
      <w:r w:rsidR="005A0097">
        <w:t xml:space="preserve"> (see paragraph </w:t>
      </w:r>
      <w:r w:rsidR="00E83AD8">
        <w:rPr>
          <w:noProof/>
        </w:rPr>
        <w:t>12</w:t>
      </w:r>
      <w:r w:rsidR="005A0097">
        <w:t xml:space="preserve"> above)</w:t>
      </w:r>
      <w:r w:rsidR="000A57ED">
        <w:t xml:space="preserve">. </w:t>
      </w:r>
      <w:r w:rsidR="005A0097">
        <w:t xml:space="preserve">The decisions of 27 May 2014 were final and confirmed the </w:t>
      </w:r>
      <w:r w:rsidR="003247C6">
        <w:t>expulsion orders</w:t>
      </w:r>
      <w:r w:rsidR="005A0097">
        <w:t xml:space="preserve">, which remain valid </w:t>
      </w:r>
      <w:r w:rsidR="001D6A84">
        <w:t>to da</w:t>
      </w:r>
      <w:r w:rsidR="00AE5A88">
        <w:t>te</w:t>
      </w:r>
      <w:r w:rsidR="006D723C">
        <w:t xml:space="preserve"> in respect of all three applicants</w:t>
      </w:r>
      <w:r w:rsidR="005A0097">
        <w:t>. In a separate ruling of the same date in respect of L.M.</w:t>
      </w:r>
      <w:r w:rsidR="001D6A84">
        <w:t>,</w:t>
      </w:r>
      <w:r w:rsidR="005A0097">
        <w:t xml:space="preserve"> the Kaluga </w:t>
      </w:r>
      <w:r w:rsidR="00B77240">
        <w:t>Regional</w:t>
      </w:r>
      <w:r w:rsidR="005A0097">
        <w:t xml:space="preserve"> Court confirmed </w:t>
      </w:r>
      <w:r w:rsidR="006D723C">
        <w:t>the</w:t>
      </w:r>
      <w:r w:rsidR="005A0097">
        <w:t xml:space="preserve"> validity </w:t>
      </w:r>
      <w:r w:rsidR="006D723C">
        <w:t xml:space="preserve">of the expulsion order </w:t>
      </w:r>
      <w:r w:rsidR="005A0097">
        <w:t>in spite of the pending request</w:t>
      </w:r>
      <w:r w:rsidR="00B77240">
        <w:t xml:space="preserve"> for asylum</w:t>
      </w:r>
      <w:r w:rsidR="005A0097">
        <w:t xml:space="preserve"> (see paragraph </w:t>
      </w:r>
      <w:r w:rsidR="00E83AD8">
        <w:rPr>
          <w:noProof/>
        </w:rPr>
        <w:t>14</w:t>
      </w:r>
      <w:r w:rsidR="00EF01F7">
        <w:t xml:space="preserve"> </w:t>
      </w:r>
      <w:r w:rsidR="006B6C59">
        <w:t>above</w:t>
      </w:r>
      <w:r w:rsidR="005A0097">
        <w:t>).</w:t>
      </w:r>
    </w:p>
    <w:p w:rsidR="009E1BDD" w:rsidRDefault="005A0097" w:rsidP="003A0B51">
      <w:pPr>
        <w:pStyle w:val="ECHRPara"/>
        <w:rPr>
          <w:snapToGrid w:val="0"/>
        </w:rPr>
      </w:pPr>
      <w:r>
        <w:rPr>
          <w:snapToGrid w:val="0"/>
        </w:rPr>
        <w:fldChar w:fldCharType="begin"/>
      </w:r>
      <w:r>
        <w:rPr>
          <w:snapToGrid w:val="0"/>
        </w:rPr>
        <w:instrText xml:space="preserve"> SEQ level0 \*arabic </w:instrText>
      </w:r>
      <w:r>
        <w:rPr>
          <w:snapToGrid w:val="0"/>
        </w:rPr>
        <w:fldChar w:fldCharType="separate"/>
      </w:r>
      <w:r w:rsidR="00D21AD2">
        <w:rPr>
          <w:noProof/>
          <w:snapToGrid w:val="0"/>
        </w:rPr>
        <w:t>105</w:t>
      </w:r>
      <w:r>
        <w:rPr>
          <w:snapToGrid w:val="0"/>
        </w:rPr>
        <w:fldChar w:fldCharType="end"/>
      </w:r>
      <w:r>
        <w:rPr>
          <w:snapToGrid w:val="0"/>
        </w:rPr>
        <w:t>.  M</w:t>
      </w:r>
      <w:r w:rsidR="003A0B51">
        <w:rPr>
          <w:snapToGrid w:val="0"/>
        </w:rPr>
        <w:t xml:space="preserve">oreover, </w:t>
      </w:r>
      <w:r w:rsidR="003A0B51" w:rsidRPr="00BC37D6">
        <w:rPr>
          <w:snapToGrid w:val="0"/>
        </w:rPr>
        <w:t xml:space="preserve">the applicants </w:t>
      </w:r>
      <w:r w:rsidR="003A0B51">
        <w:rPr>
          <w:snapToGrid w:val="0"/>
        </w:rPr>
        <w:t xml:space="preserve">alleged that their confinement </w:t>
      </w:r>
      <w:r w:rsidR="00A70366">
        <w:rPr>
          <w:snapToGrid w:val="0"/>
        </w:rPr>
        <w:t>in</w:t>
      </w:r>
      <w:r w:rsidR="003A0B51" w:rsidRPr="00BC37D6">
        <w:rPr>
          <w:snapToGrid w:val="0"/>
        </w:rPr>
        <w:t xml:space="preserve"> the detention centre had </w:t>
      </w:r>
      <w:r w:rsidR="003A0B51">
        <w:rPr>
          <w:snapToGrid w:val="0"/>
        </w:rPr>
        <w:t>prevented them from</w:t>
      </w:r>
      <w:r w:rsidR="003A0B51" w:rsidRPr="00BC37D6">
        <w:rPr>
          <w:snapToGrid w:val="0"/>
        </w:rPr>
        <w:t xml:space="preserve"> effectively participat</w:t>
      </w:r>
      <w:r w:rsidR="003A0B51">
        <w:rPr>
          <w:snapToGrid w:val="0"/>
        </w:rPr>
        <w:t>ing</w:t>
      </w:r>
      <w:r w:rsidR="003A0B51" w:rsidRPr="00BC37D6">
        <w:rPr>
          <w:snapToGrid w:val="0"/>
        </w:rPr>
        <w:t xml:space="preserve"> in </w:t>
      </w:r>
      <w:r w:rsidR="003A0B51">
        <w:rPr>
          <w:snapToGrid w:val="0"/>
        </w:rPr>
        <w:t>the</w:t>
      </w:r>
      <w:r w:rsidR="003A0B51" w:rsidRPr="00BC37D6">
        <w:rPr>
          <w:snapToGrid w:val="0"/>
        </w:rPr>
        <w:t xml:space="preserve"> </w:t>
      </w:r>
      <w:r w:rsidR="00A70366">
        <w:rPr>
          <w:snapToGrid w:val="0"/>
        </w:rPr>
        <w:t xml:space="preserve">proceedings </w:t>
      </w:r>
      <w:r w:rsidR="00392503">
        <w:rPr>
          <w:snapToGrid w:val="0"/>
        </w:rPr>
        <w:t xml:space="preserve">for the </w:t>
      </w:r>
      <w:r w:rsidR="00A70366">
        <w:rPr>
          <w:snapToGrid w:val="0"/>
        </w:rPr>
        <w:t>determin</w:t>
      </w:r>
      <w:r w:rsidR="00392503">
        <w:rPr>
          <w:snapToGrid w:val="0"/>
        </w:rPr>
        <w:t>ation of</w:t>
      </w:r>
      <w:r w:rsidR="00A70366">
        <w:rPr>
          <w:snapToGrid w:val="0"/>
        </w:rPr>
        <w:t xml:space="preserve"> their </w:t>
      </w:r>
      <w:r w:rsidR="003A0B51">
        <w:rPr>
          <w:snapToGrid w:val="0"/>
        </w:rPr>
        <w:t>refugee and asylum</w:t>
      </w:r>
      <w:r w:rsidR="00392503">
        <w:rPr>
          <w:snapToGrid w:val="0"/>
        </w:rPr>
        <w:t xml:space="preserve"> status</w:t>
      </w:r>
      <w:r w:rsidR="003A0B51">
        <w:rPr>
          <w:snapToGrid w:val="0"/>
        </w:rPr>
        <w:t xml:space="preserve">. While </w:t>
      </w:r>
      <w:r w:rsidR="00392503">
        <w:rPr>
          <w:snapToGrid w:val="0"/>
        </w:rPr>
        <w:t xml:space="preserve">they had </w:t>
      </w:r>
      <w:r w:rsidR="003A0B51">
        <w:rPr>
          <w:snapToGrid w:val="0"/>
        </w:rPr>
        <w:t xml:space="preserve">lodged the relevant requests, they </w:t>
      </w:r>
      <w:r w:rsidR="003A0B51" w:rsidRPr="00BC37D6">
        <w:t>alleged</w:t>
      </w:r>
      <w:r w:rsidR="003A0B51">
        <w:rPr>
          <w:snapToGrid w:val="0"/>
        </w:rPr>
        <w:t xml:space="preserve"> that on two occasions they had been forced</w:t>
      </w:r>
      <w:r w:rsidR="003A0B51" w:rsidRPr="00BC37D6">
        <w:rPr>
          <w:snapToGrid w:val="0"/>
        </w:rPr>
        <w:t xml:space="preserve"> to sign papers </w:t>
      </w:r>
      <w:r w:rsidR="00392503">
        <w:rPr>
          <w:snapToGrid w:val="0"/>
        </w:rPr>
        <w:t>withdrawing</w:t>
      </w:r>
      <w:r w:rsidR="003A0B51" w:rsidRPr="00BC37D6">
        <w:rPr>
          <w:snapToGrid w:val="0"/>
        </w:rPr>
        <w:t xml:space="preserve"> their applications; these </w:t>
      </w:r>
      <w:r w:rsidR="00392503">
        <w:rPr>
          <w:snapToGrid w:val="0"/>
        </w:rPr>
        <w:t>withdrawals</w:t>
      </w:r>
      <w:r w:rsidR="003A0B51" w:rsidRPr="00BC37D6">
        <w:rPr>
          <w:snapToGrid w:val="0"/>
        </w:rPr>
        <w:t xml:space="preserve"> were later re</w:t>
      </w:r>
      <w:r w:rsidR="00640789">
        <w:rPr>
          <w:snapToGrid w:val="0"/>
        </w:rPr>
        <w:t>tracted</w:t>
      </w:r>
      <w:r w:rsidR="003A0B51" w:rsidRPr="00BC37D6">
        <w:rPr>
          <w:snapToGrid w:val="0"/>
        </w:rPr>
        <w:t xml:space="preserve"> by them </w:t>
      </w:r>
      <w:r w:rsidR="003A0B51">
        <w:rPr>
          <w:snapToGrid w:val="0"/>
        </w:rPr>
        <w:t xml:space="preserve">as made under duress and in the absence of </w:t>
      </w:r>
      <w:r w:rsidR="00586520">
        <w:rPr>
          <w:snapToGrid w:val="0"/>
        </w:rPr>
        <w:t xml:space="preserve">an </w:t>
      </w:r>
      <w:r w:rsidR="003A0B51">
        <w:rPr>
          <w:snapToGrid w:val="0"/>
        </w:rPr>
        <w:t>interpret</w:t>
      </w:r>
      <w:r w:rsidR="00586520">
        <w:rPr>
          <w:snapToGrid w:val="0"/>
        </w:rPr>
        <w:t>er</w:t>
      </w:r>
      <w:r w:rsidR="003A0B51">
        <w:rPr>
          <w:snapToGrid w:val="0"/>
        </w:rPr>
        <w:t xml:space="preserve"> or advice</w:t>
      </w:r>
      <w:r w:rsidR="003A0B51" w:rsidRPr="00BC37D6">
        <w:rPr>
          <w:snapToGrid w:val="0"/>
        </w:rPr>
        <w:t xml:space="preserve">. </w:t>
      </w:r>
      <w:r>
        <w:rPr>
          <w:snapToGrid w:val="0"/>
        </w:rPr>
        <w:t>N</w:t>
      </w:r>
      <w:r w:rsidR="003A0B51" w:rsidRPr="00BC37D6">
        <w:rPr>
          <w:snapToGrid w:val="0"/>
        </w:rPr>
        <w:t>umerous complaints lodged by the applicants</w:t>
      </w:r>
      <w:r w:rsidR="00BA3D89">
        <w:rPr>
          <w:snapToGrid w:val="0"/>
        </w:rPr>
        <w:t>’</w:t>
      </w:r>
      <w:r w:rsidR="003A0B51" w:rsidRPr="00BC37D6">
        <w:rPr>
          <w:snapToGrid w:val="0"/>
        </w:rPr>
        <w:t xml:space="preserve"> representatives point</w:t>
      </w:r>
      <w:r w:rsidR="001A28D9">
        <w:rPr>
          <w:snapToGrid w:val="0"/>
        </w:rPr>
        <w:t>ed</w:t>
      </w:r>
      <w:r w:rsidR="003A0B51" w:rsidRPr="00BC37D6">
        <w:rPr>
          <w:snapToGrid w:val="0"/>
        </w:rPr>
        <w:t xml:space="preserve"> </w:t>
      </w:r>
      <w:r w:rsidR="00DF1F85">
        <w:rPr>
          <w:snapToGrid w:val="0"/>
        </w:rPr>
        <w:t xml:space="preserve">to </w:t>
      </w:r>
      <w:r w:rsidR="003A0B51" w:rsidRPr="00BC37D6">
        <w:rPr>
          <w:snapToGrid w:val="0"/>
        </w:rPr>
        <w:t xml:space="preserve">severe restrictions </w:t>
      </w:r>
      <w:r w:rsidR="00392503">
        <w:rPr>
          <w:snapToGrid w:val="0"/>
        </w:rPr>
        <w:t>on</w:t>
      </w:r>
      <w:r w:rsidR="003A0B51" w:rsidRPr="00BC37D6">
        <w:rPr>
          <w:snapToGrid w:val="0"/>
        </w:rPr>
        <w:t xml:space="preserve"> communication which could not b</w:t>
      </w:r>
      <w:r w:rsidR="003A0B51">
        <w:rPr>
          <w:snapToGrid w:val="0"/>
        </w:rPr>
        <w:t>u</w:t>
      </w:r>
      <w:r w:rsidR="003A0B51" w:rsidRPr="00BC37D6">
        <w:rPr>
          <w:snapToGrid w:val="0"/>
        </w:rPr>
        <w:t xml:space="preserve">t have </w:t>
      </w:r>
      <w:r w:rsidR="00392503">
        <w:rPr>
          <w:snapToGrid w:val="0"/>
        </w:rPr>
        <w:t>had an</w:t>
      </w:r>
      <w:r w:rsidR="003A0B51" w:rsidRPr="00BC37D6">
        <w:rPr>
          <w:snapToGrid w:val="0"/>
        </w:rPr>
        <w:t xml:space="preserve"> effect on the acce</w:t>
      </w:r>
      <w:r w:rsidR="003A0B51">
        <w:rPr>
          <w:snapToGrid w:val="0"/>
        </w:rPr>
        <w:t xml:space="preserve">ssibility of the appeal proceedings </w:t>
      </w:r>
      <w:r w:rsidR="003A0B51" w:rsidRPr="00BC37D6">
        <w:rPr>
          <w:snapToGrid w:val="0"/>
        </w:rPr>
        <w:t xml:space="preserve">(see </w:t>
      </w:r>
      <w:r w:rsidR="003A0B51">
        <w:rPr>
          <w:snapToGrid w:val="0"/>
        </w:rPr>
        <w:t xml:space="preserve">paragraphs </w:t>
      </w:r>
      <w:r w:rsidR="003A0B51" w:rsidRPr="00965E4D">
        <w:rPr>
          <w:snapToGrid w:val="0"/>
        </w:rPr>
        <w:t>32, 33</w:t>
      </w:r>
      <w:r w:rsidR="005A08C4" w:rsidRPr="00965E4D">
        <w:rPr>
          <w:snapToGrid w:val="0"/>
        </w:rPr>
        <w:t xml:space="preserve"> and</w:t>
      </w:r>
      <w:r w:rsidR="003A0B51" w:rsidRPr="00965E4D">
        <w:rPr>
          <w:snapToGrid w:val="0"/>
        </w:rPr>
        <w:t xml:space="preserve"> 47-54</w:t>
      </w:r>
      <w:r w:rsidR="003A0B51" w:rsidRPr="00BC37D6">
        <w:rPr>
          <w:snapToGrid w:val="0"/>
        </w:rPr>
        <w:t xml:space="preserve"> above). </w:t>
      </w:r>
      <w:r w:rsidR="003A0B51">
        <w:rPr>
          <w:snapToGrid w:val="0"/>
        </w:rPr>
        <w:t>W</w:t>
      </w:r>
      <w:r w:rsidR="003A0B51" w:rsidRPr="00BC37D6">
        <w:rPr>
          <w:snapToGrid w:val="0"/>
        </w:rPr>
        <w:t>he</w:t>
      </w:r>
      <w:r w:rsidR="00392503">
        <w:rPr>
          <w:snapToGrid w:val="0"/>
        </w:rPr>
        <w:t>n</w:t>
      </w:r>
      <w:r w:rsidR="003A0B51" w:rsidRPr="00BC37D6">
        <w:rPr>
          <w:snapToGrid w:val="0"/>
        </w:rPr>
        <w:t xml:space="preserve"> one of the applicants, </w:t>
      </w:r>
      <w:r w:rsidR="00807B20">
        <w:rPr>
          <w:snapToGrid w:val="0"/>
        </w:rPr>
        <w:t>M.A.</w:t>
      </w:r>
      <w:r w:rsidR="003A0B51">
        <w:rPr>
          <w:snapToGrid w:val="0"/>
        </w:rPr>
        <w:t>,</w:t>
      </w:r>
      <w:r w:rsidR="003A0B51" w:rsidRPr="00BC37D6">
        <w:rPr>
          <w:snapToGrid w:val="0"/>
        </w:rPr>
        <w:t xml:space="preserve"> appealed against the decision not to grant </w:t>
      </w:r>
      <w:r w:rsidR="00313675">
        <w:rPr>
          <w:snapToGrid w:val="0"/>
        </w:rPr>
        <w:t xml:space="preserve">him </w:t>
      </w:r>
      <w:r w:rsidR="003A0B51" w:rsidRPr="00BC37D6">
        <w:rPr>
          <w:snapToGrid w:val="0"/>
        </w:rPr>
        <w:t>asylum, h</w:t>
      </w:r>
      <w:r w:rsidR="003A0B51">
        <w:rPr>
          <w:snapToGrid w:val="0"/>
        </w:rPr>
        <w:t>e had no opportunity to take</w:t>
      </w:r>
      <w:r w:rsidR="003A0B51" w:rsidRPr="00BC37D6">
        <w:rPr>
          <w:snapToGrid w:val="0"/>
        </w:rPr>
        <w:t xml:space="preserve"> part in the </w:t>
      </w:r>
      <w:r w:rsidR="003A0B51">
        <w:rPr>
          <w:snapToGrid w:val="0"/>
        </w:rPr>
        <w:t xml:space="preserve">proceedings </w:t>
      </w:r>
      <w:r w:rsidR="003A0B51" w:rsidRPr="00BC37D6">
        <w:rPr>
          <w:snapToGrid w:val="0"/>
        </w:rPr>
        <w:t xml:space="preserve">(see </w:t>
      </w:r>
      <w:r w:rsidR="003A0B51">
        <w:rPr>
          <w:snapToGrid w:val="0"/>
        </w:rPr>
        <w:t>paragraph</w:t>
      </w:r>
      <w:r w:rsidR="00943B86">
        <w:rPr>
          <w:snapToGrid w:val="0"/>
        </w:rPr>
        <w:t> </w:t>
      </w:r>
      <w:r w:rsidR="00E83AD8">
        <w:rPr>
          <w:noProof/>
        </w:rPr>
        <w:t>36</w:t>
      </w:r>
      <w:r w:rsidR="003A0B51" w:rsidRPr="00BC37D6">
        <w:rPr>
          <w:snapToGrid w:val="0"/>
        </w:rPr>
        <w:t xml:space="preserve">). </w:t>
      </w:r>
      <w:r w:rsidR="003A0B51">
        <w:rPr>
          <w:snapToGrid w:val="0"/>
        </w:rPr>
        <w:t xml:space="preserve">In </w:t>
      </w:r>
      <w:r w:rsidR="00D96912">
        <w:rPr>
          <w:snapToGrid w:val="0"/>
        </w:rPr>
        <w:t xml:space="preserve">the </w:t>
      </w:r>
      <w:r w:rsidR="003A0B51">
        <w:rPr>
          <w:snapToGrid w:val="0"/>
        </w:rPr>
        <w:t>circumstances, the Court is bound to conclude that the proceedings concerning</w:t>
      </w:r>
      <w:r w:rsidR="00392503">
        <w:rPr>
          <w:snapToGrid w:val="0"/>
        </w:rPr>
        <w:t xml:space="preserve"> the</w:t>
      </w:r>
      <w:r w:rsidR="003A0B51">
        <w:rPr>
          <w:snapToGrid w:val="0"/>
        </w:rPr>
        <w:t xml:space="preserve"> determination of </w:t>
      </w:r>
      <w:r w:rsidR="00392503">
        <w:rPr>
          <w:snapToGrid w:val="0"/>
        </w:rPr>
        <w:t>the applicants</w:t>
      </w:r>
      <w:r w:rsidR="00BA3D89">
        <w:rPr>
          <w:snapToGrid w:val="0"/>
        </w:rPr>
        <w:t>’</w:t>
      </w:r>
      <w:r w:rsidR="00392503">
        <w:rPr>
          <w:snapToGrid w:val="0"/>
        </w:rPr>
        <w:t xml:space="preserve"> </w:t>
      </w:r>
      <w:r w:rsidR="003A0B51">
        <w:rPr>
          <w:snapToGrid w:val="0"/>
        </w:rPr>
        <w:t xml:space="preserve">refugee and asylum status were not </w:t>
      </w:r>
      <w:r w:rsidR="00EF01F7">
        <w:rPr>
          <w:snapToGrid w:val="0"/>
        </w:rPr>
        <w:t>accessible</w:t>
      </w:r>
      <w:r w:rsidR="003A0B51">
        <w:rPr>
          <w:snapToGrid w:val="0"/>
        </w:rPr>
        <w:t xml:space="preserve"> </w:t>
      </w:r>
      <w:r w:rsidR="00EF01F7">
        <w:rPr>
          <w:snapToGrid w:val="0"/>
        </w:rPr>
        <w:t xml:space="preserve">to them </w:t>
      </w:r>
      <w:r w:rsidR="003A0B51">
        <w:rPr>
          <w:snapToGrid w:val="0"/>
        </w:rPr>
        <w:t>in practice in the present case</w:t>
      </w:r>
      <w:r>
        <w:rPr>
          <w:snapToGrid w:val="0"/>
        </w:rPr>
        <w:t xml:space="preserve"> and therefore, in any event, could not be </w:t>
      </w:r>
      <w:r w:rsidR="003247C6">
        <w:rPr>
          <w:snapToGrid w:val="0"/>
        </w:rPr>
        <w:t xml:space="preserve">considered as a remedy to be </w:t>
      </w:r>
      <w:r w:rsidR="00392503">
        <w:rPr>
          <w:snapToGrid w:val="0"/>
        </w:rPr>
        <w:t>used</w:t>
      </w:r>
      <w:r w:rsidR="003247C6">
        <w:rPr>
          <w:snapToGrid w:val="0"/>
        </w:rPr>
        <w:t>.</w:t>
      </w:r>
    </w:p>
    <w:p w:rsidR="009E1BDD" w:rsidRDefault="005A0097" w:rsidP="003A0B51">
      <w:pPr>
        <w:pStyle w:val="ECHRPara"/>
        <w:rPr>
          <w:snapToGrid w:val="0"/>
        </w:rPr>
      </w:pPr>
      <w:r>
        <w:rPr>
          <w:snapToGrid w:val="0"/>
        </w:rPr>
        <w:fldChar w:fldCharType="begin"/>
      </w:r>
      <w:r>
        <w:rPr>
          <w:snapToGrid w:val="0"/>
        </w:rPr>
        <w:instrText xml:space="preserve"> SEQ level0 \*arabic </w:instrText>
      </w:r>
      <w:r>
        <w:rPr>
          <w:snapToGrid w:val="0"/>
        </w:rPr>
        <w:fldChar w:fldCharType="separate"/>
      </w:r>
      <w:r w:rsidR="00D21AD2">
        <w:rPr>
          <w:noProof/>
          <w:snapToGrid w:val="0"/>
        </w:rPr>
        <w:t>106</w:t>
      </w:r>
      <w:r>
        <w:rPr>
          <w:snapToGrid w:val="0"/>
        </w:rPr>
        <w:fldChar w:fldCharType="end"/>
      </w:r>
      <w:r>
        <w:rPr>
          <w:snapToGrid w:val="0"/>
        </w:rPr>
        <w:t>.  </w:t>
      </w:r>
      <w:r w:rsidR="003A0B51">
        <w:rPr>
          <w:snapToGrid w:val="0"/>
        </w:rPr>
        <w:t xml:space="preserve">Accordingly, </w:t>
      </w:r>
      <w:r>
        <w:t xml:space="preserve">the Court </w:t>
      </w:r>
      <w:r w:rsidR="003A0B51">
        <w:rPr>
          <w:snapToGrid w:val="0"/>
        </w:rPr>
        <w:t xml:space="preserve">dismisses the </w:t>
      </w:r>
      <w:r w:rsidR="00F34C8B">
        <w:rPr>
          <w:snapToGrid w:val="0"/>
        </w:rPr>
        <w:t>Government</w:t>
      </w:r>
      <w:r w:rsidR="00BA3D89">
        <w:rPr>
          <w:snapToGrid w:val="0"/>
        </w:rPr>
        <w:t>’</w:t>
      </w:r>
      <w:r w:rsidR="00F34C8B">
        <w:rPr>
          <w:snapToGrid w:val="0"/>
        </w:rPr>
        <w:t>s</w:t>
      </w:r>
      <w:r w:rsidR="003A0B51">
        <w:rPr>
          <w:snapToGrid w:val="0"/>
        </w:rPr>
        <w:t xml:space="preserve"> objection of non-exhaustion.</w:t>
      </w:r>
    </w:p>
    <w:p w:rsidR="00014566" w:rsidRPr="00062973" w:rsidRDefault="005A0097" w:rsidP="00C621C2">
      <w:pPr>
        <w:pStyle w:val="ECHRPara"/>
      </w:pPr>
      <w:r>
        <w:fldChar w:fldCharType="begin"/>
      </w:r>
      <w:r>
        <w:instrText xml:space="preserve"> SEQ level0 \*arabic </w:instrText>
      </w:r>
      <w:r>
        <w:fldChar w:fldCharType="separate"/>
      </w:r>
      <w:r w:rsidR="00D21AD2">
        <w:rPr>
          <w:noProof/>
        </w:rPr>
        <w:t>107</w:t>
      </w:r>
      <w:r>
        <w:fldChar w:fldCharType="end"/>
      </w:r>
      <w:r>
        <w:t>.  </w:t>
      </w:r>
      <w:r w:rsidR="00014566" w:rsidRPr="00062973">
        <w:t xml:space="preserve">The Court </w:t>
      </w:r>
      <w:r w:rsidR="00806544">
        <w:t xml:space="preserve">further </w:t>
      </w:r>
      <w:r w:rsidR="00014566" w:rsidRPr="00062973">
        <w:t xml:space="preserve">notes that the </w:t>
      </w:r>
      <w:r w:rsidR="009624DA">
        <w:t>complaints</w:t>
      </w:r>
      <w:r w:rsidR="00014566" w:rsidRPr="00062973">
        <w:t xml:space="preserve"> </w:t>
      </w:r>
      <w:r w:rsidR="00C94B3B" w:rsidRPr="00062973">
        <w:t>are</w:t>
      </w:r>
      <w:r w:rsidR="00014566" w:rsidRPr="00062973">
        <w:t xml:space="preserve"> not manifestly ill</w:t>
      </w:r>
      <w:r w:rsidR="00965E4D">
        <w:noBreakHyphen/>
      </w:r>
      <w:r w:rsidR="00014566" w:rsidRPr="00062973">
        <w:t>founded within the meaning of Article 35 § 3 (a) of the Convention</w:t>
      </w:r>
      <w:r w:rsidR="00392503">
        <w:t>, and</w:t>
      </w:r>
      <w:r w:rsidR="00014566" w:rsidRPr="00062973">
        <w:t xml:space="preserve"> that </w:t>
      </w:r>
      <w:r w:rsidR="009624DA">
        <w:t>they are</w:t>
      </w:r>
      <w:r w:rsidR="00014566" w:rsidRPr="00062973">
        <w:t xml:space="preserve"> not inadmissible on any other grounds. </w:t>
      </w:r>
      <w:r w:rsidR="009624DA">
        <w:t>They</w:t>
      </w:r>
      <w:r w:rsidR="00014566" w:rsidRPr="00062973">
        <w:t xml:space="preserve"> must therefore be declared admissible.</w:t>
      </w:r>
    </w:p>
    <w:p w:rsidR="00014566" w:rsidRPr="00062973" w:rsidRDefault="001A7F28" w:rsidP="001A7F28">
      <w:pPr>
        <w:pStyle w:val="ECHRHeading3"/>
      </w:pPr>
      <w:r>
        <w:lastRenderedPageBreak/>
        <w:t>2</w:t>
      </w:r>
      <w:r w:rsidR="00014566" w:rsidRPr="00062973">
        <w:t>.  Merits</w:t>
      </w:r>
    </w:p>
    <w:p w:rsidR="00E14CF0" w:rsidRPr="00E14CF0" w:rsidRDefault="00965E4D" w:rsidP="008411D0">
      <w:pPr>
        <w:pStyle w:val="ECHRHeading4"/>
      </w:pPr>
      <w:r>
        <w:t>(a)  </w:t>
      </w:r>
      <w:r w:rsidR="00E14CF0" w:rsidRPr="00E14CF0">
        <w:t>General principles</w:t>
      </w:r>
    </w:p>
    <w:p w:rsidR="00387F54" w:rsidRPr="005F2C85" w:rsidRDefault="008411D0" w:rsidP="00387F54">
      <w:pPr>
        <w:pStyle w:val="ECHRPara"/>
        <w:rPr>
          <w:i/>
        </w:rPr>
      </w:pPr>
      <w:r>
        <w:fldChar w:fldCharType="begin"/>
      </w:r>
      <w:r>
        <w:instrText xml:space="preserve"> SEQ level0 \*arabic </w:instrText>
      </w:r>
      <w:r>
        <w:fldChar w:fldCharType="separate"/>
      </w:r>
      <w:r w:rsidR="00D21AD2">
        <w:rPr>
          <w:noProof/>
        </w:rPr>
        <w:t>108</w:t>
      </w:r>
      <w:r>
        <w:fldChar w:fldCharType="end"/>
      </w:r>
      <w:r>
        <w:t>.  </w:t>
      </w:r>
      <w:r w:rsidR="00586D48">
        <w:t>The rel</w:t>
      </w:r>
      <w:r w:rsidR="00387F54">
        <w:t>evant general principles concerning</w:t>
      </w:r>
      <w:r w:rsidR="00694762">
        <w:t xml:space="preserve"> the</w:t>
      </w:r>
      <w:r w:rsidR="00134A95">
        <w:t xml:space="preserve"> application of Article </w:t>
      </w:r>
      <w:r w:rsidR="00387F54">
        <w:t xml:space="preserve">3 </w:t>
      </w:r>
      <w:r w:rsidR="00586D48">
        <w:t xml:space="preserve">have </w:t>
      </w:r>
      <w:r w:rsidR="00387F54">
        <w:t>recently</w:t>
      </w:r>
      <w:r w:rsidR="00694762">
        <w:t xml:space="preserve"> been</w:t>
      </w:r>
      <w:r w:rsidR="00387F54">
        <w:t xml:space="preserve"> </w:t>
      </w:r>
      <w:r w:rsidR="00586D48">
        <w:t xml:space="preserve">summarised by the Court </w:t>
      </w:r>
      <w:r w:rsidR="00387F54">
        <w:t xml:space="preserve">in </w:t>
      </w:r>
      <w:proofErr w:type="spellStart"/>
      <w:r w:rsidR="00387F54">
        <w:rPr>
          <w:i/>
        </w:rPr>
        <w:t>Mamazhonov</w:t>
      </w:r>
      <w:proofErr w:type="spellEnd"/>
      <w:r w:rsidR="00387F54">
        <w:rPr>
          <w:i/>
        </w:rPr>
        <w:t xml:space="preserve"> </w:t>
      </w:r>
      <w:r w:rsidR="00387F54" w:rsidRPr="006A272C">
        <w:rPr>
          <w:i/>
          <w:snapToGrid w:val="0"/>
        </w:rPr>
        <w:t>v.</w:t>
      </w:r>
      <w:r w:rsidR="00965E4D">
        <w:rPr>
          <w:i/>
          <w:snapToGrid w:val="0"/>
        </w:rPr>
        <w:t> </w:t>
      </w:r>
      <w:r w:rsidR="00387F54" w:rsidRPr="006A272C">
        <w:rPr>
          <w:i/>
          <w:snapToGrid w:val="0"/>
        </w:rPr>
        <w:t>Russia</w:t>
      </w:r>
      <w:r w:rsidR="00694762">
        <w:rPr>
          <w:snapToGrid w:val="0"/>
        </w:rPr>
        <w:t xml:space="preserve"> (</w:t>
      </w:r>
      <w:r w:rsidR="00387F54" w:rsidRPr="006A272C">
        <w:t>no.</w:t>
      </w:r>
      <w:r w:rsidR="00196199">
        <w:t> </w:t>
      </w:r>
      <w:r w:rsidR="00387F54" w:rsidRPr="006A272C">
        <w:t>17239/13</w:t>
      </w:r>
      <w:r w:rsidR="00387F54" w:rsidRPr="006A272C">
        <w:rPr>
          <w:snapToGrid w:val="0"/>
        </w:rPr>
        <w:t>,</w:t>
      </w:r>
      <w:r w:rsidR="00D41FFD">
        <w:rPr>
          <w:snapToGrid w:val="0"/>
        </w:rPr>
        <w:t xml:space="preserve"> §§ 127-</w:t>
      </w:r>
      <w:r w:rsidR="00387F54">
        <w:rPr>
          <w:snapToGrid w:val="0"/>
        </w:rPr>
        <w:t>35, 23 October 2014</w:t>
      </w:r>
      <w:r w:rsidR="00694762">
        <w:rPr>
          <w:snapToGrid w:val="0"/>
        </w:rPr>
        <w:t>)</w:t>
      </w:r>
      <w:r w:rsidR="00387F54">
        <w:rPr>
          <w:snapToGrid w:val="0"/>
        </w:rPr>
        <w:t xml:space="preserve">. </w:t>
      </w:r>
      <w:r w:rsidR="00387F54" w:rsidRPr="000E7B2C">
        <w:t>The</w:t>
      </w:r>
      <w:r w:rsidR="00694762">
        <w:t>y</w:t>
      </w:r>
      <w:r w:rsidR="00387F54" w:rsidRPr="000E7B2C">
        <w:t xml:space="preserve"> also </w:t>
      </w:r>
      <w:r w:rsidR="00694762">
        <w:t>apply with</w:t>
      </w:r>
      <w:r w:rsidR="00387F54" w:rsidRPr="000E7B2C">
        <w:t xml:space="preserve"> regard to Article 2 of the Convention (see, for example, </w:t>
      </w:r>
      <w:proofErr w:type="spellStart"/>
      <w:r w:rsidR="00387F54" w:rsidRPr="00387F54">
        <w:rPr>
          <w:i/>
        </w:rPr>
        <w:t>Kaboulov</w:t>
      </w:r>
      <w:proofErr w:type="spellEnd"/>
      <w:r w:rsidR="00387F54" w:rsidRPr="00387F54">
        <w:rPr>
          <w:i/>
        </w:rPr>
        <w:t xml:space="preserve"> v.</w:t>
      </w:r>
      <w:r w:rsidR="002F3277">
        <w:rPr>
          <w:i/>
        </w:rPr>
        <w:t> </w:t>
      </w:r>
      <w:r w:rsidR="00387F54" w:rsidRPr="00387F54">
        <w:rPr>
          <w:i/>
        </w:rPr>
        <w:t>Ukraine</w:t>
      </w:r>
      <w:r w:rsidR="00387F54" w:rsidRPr="000E7B2C">
        <w:t xml:space="preserve">, no. </w:t>
      </w:r>
      <w:r w:rsidR="00387F54" w:rsidRPr="00EE7BA8">
        <w:t>41015/04</w:t>
      </w:r>
      <w:r w:rsidR="00387F54" w:rsidRPr="000E7B2C">
        <w:t>, § 99, 19 November 2009</w:t>
      </w:r>
      <w:r w:rsidR="00694762">
        <w:t>,</w:t>
      </w:r>
      <w:r w:rsidR="001A28D9">
        <w:t xml:space="preserve"> and </w:t>
      </w:r>
      <w:r w:rsidR="001A28D9" w:rsidRPr="001A28D9">
        <w:rPr>
          <w:i/>
        </w:rPr>
        <w:t>M.A.</w:t>
      </w:r>
      <w:r w:rsidR="002A1D84">
        <w:rPr>
          <w:i/>
        </w:rPr>
        <w:t xml:space="preserve"> </w:t>
      </w:r>
      <w:r w:rsidR="002A1D84" w:rsidRPr="00F7005A">
        <w:rPr>
          <w:i/>
          <w:iCs/>
          <w:color w:val="000000" w:themeColor="text1"/>
        </w:rPr>
        <w:t>v. Cyprus</w:t>
      </w:r>
      <w:r w:rsidR="003A0B51">
        <w:t xml:space="preserve">, </w:t>
      </w:r>
      <w:r w:rsidR="00BA787E">
        <w:t>cited above, § 133</w:t>
      </w:r>
      <w:r w:rsidR="00387F54" w:rsidRPr="000E7B2C">
        <w:t>).</w:t>
      </w:r>
      <w:r w:rsidR="0062068A">
        <w:t xml:space="preserve"> </w:t>
      </w:r>
      <w:r w:rsidR="005F2C85">
        <w:t xml:space="preserve">In the present case, </w:t>
      </w:r>
      <w:r w:rsidR="005F2C85" w:rsidRPr="00E83AD8">
        <w:t xml:space="preserve">the issues under Articles 2 and 3 of the Convention are </w:t>
      </w:r>
      <w:proofErr w:type="spellStart"/>
      <w:r w:rsidR="005F2C85" w:rsidRPr="00E83AD8">
        <w:t>indissociable</w:t>
      </w:r>
      <w:proofErr w:type="spellEnd"/>
      <w:r w:rsidR="005F2C85" w:rsidRPr="00E83AD8">
        <w:t xml:space="preserve"> and the Court will therefore examine them together (see </w:t>
      </w:r>
      <w:r w:rsidR="005F2C85" w:rsidRPr="00B668D2">
        <w:rPr>
          <w:i/>
          <w:snapToGrid w:val="0"/>
        </w:rPr>
        <w:t>K.A.B.</w:t>
      </w:r>
      <w:r w:rsidR="005F2C85" w:rsidRPr="00B668D2">
        <w:rPr>
          <w:snapToGrid w:val="0"/>
        </w:rPr>
        <w:t xml:space="preserve"> </w:t>
      </w:r>
      <w:r w:rsidR="005F2C85" w:rsidRPr="00B668D2">
        <w:rPr>
          <w:i/>
          <w:snapToGrid w:val="0"/>
        </w:rPr>
        <w:t>v. Sweden</w:t>
      </w:r>
      <w:r w:rsidR="005F2C85">
        <w:rPr>
          <w:snapToGrid w:val="0"/>
        </w:rPr>
        <w:t>, no. 886/11, § 67</w:t>
      </w:r>
      <w:r w:rsidR="005F2C85" w:rsidRPr="00B668D2">
        <w:rPr>
          <w:snapToGrid w:val="0"/>
        </w:rPr>
        <w:t>, 5</w:t>
      </w:r>
      <w:r w:rsidR="002F3277">
        <w:rPr>
          <w:snapToGrid w:val="0"/>
        </w:rPr>
        <w:t> </w:t>
      </w:r>
      <w:r w:rsidR="005F2C85" w:rsidRPr="00B668D2">
        <w:rPr>
          <w:snapToGrid w:val="0"/>
        </w:rPr>
        <w:t>September 2013</w:t>
      </w:r>
      <w:r w:rsidR="005F2C85">
        <w:rPr>
          <w:snapToGrid w:val="0"/>
        </w:rPr>
        <w:t>).</w:t>
      </w:r>
    </w:p>
    <w:p w:rsidR="00387F54" w:rsidRDefault="00387F54" w:rsidP="003247C6">
      <w:pPr>
        <w:pStyle w:val="ECHRPara"/>
      </w:pPr>
      <w:r>
        <w:fldChar w:fldCharType="begin"/>
      </w:r>
      <w:r>
        <w:instrText xml:space="preserve"> SEQ level0 \*arabic </w:instrText>
      </w:r>
      <w:r>
        <w:fldChar w:fldCharType="separate"/>
      </w:r>
      <w:r w:rsidR="00D21AD2">
        <w:rPr>
          <w:noProof/>
        </w:rPr>
        <w:t>109</w:t>
      </w:r>
      <w:r>
        <w:fldChar w:fldCharType="end"/>
      </w:r>
      <w:r>
        <w:t xml:space="preserve">.  In respect of applications lodged in Russia, primarily by applicants originating from the countries of Central Asia, the Court has </w:t>
      </w:r>
      <w:r w:rsidRPr="00387F54">
        <w:t>identified the critical elements to be sub</w:t>
      </w:r>
      <w:r w:rsidR="003247C6">
        <w:t xml:space="preserve">jected to a searching scrutiny. </w:t>
      </w:r>
      <w:r w:rsidRPr="00387F54">
        <w:t>Firstly, it has to be considered whether an applicant has presented the national authorities with substantial grounds for believing that he face</w:t>
      </w:r>
      <w:r w:rsidR="00E23F32">
        <w:t>s</w:t>
      </w:r>
      <w:r w:rsidRPr="00387F54">
        <w:t xml:space="preserve"> a real risk of ill</w:t>
      </w:r>
      <w:r w:rsidRPr="00387F54">
        <w:noBreakHyphen/>
        <w:t>treatment in the destination country. Secondly, the Court w</w:t>
      </w:r>
      <w:r w:rsidR="00E23F32">
        <w:t>ill</w:t>
      </w:r>
      <w:r w:rsidRPr="00387F54">
        <w:t xml:space="preserve"> inquire into whether the claim has been assessed adequately by the competent national authorities discharging their procedural obligations under Article 3 of the Convention and whether their conclusions were sufficiently supported by relevant material. Lastly, having regard to all of the substantive aspects of a case and the available relevant information, the Court w</w:t>
      </w:r>
      <w:r w:rsidR="00E23F32">
        <w:t>ill</w:t>
      </w:r>
      <w:r w:rsidRPr="00387F54">
        <w:t xml:space="preserve"> assess the existence of the real risk of suffering torture or treatment incompatible with Convention standards (see </w:t>
      </w:r>
      <w:proofErr w:type="spellStart"/>
      <w:r w:rsidRPr="00387F54">
        <w:rPr>
          <w:i/>
        </w:rPr>
        <w:t>Mamazhonov</w:t>
      </w:r>
      <w:proofErr w:type="spellEnd"/>
      <w:r w:rsidR="00E23F32">
        <w:t>,</w:t>
      </w:r>
      <w:r>
        <w:t xml:space="preserve"> cited above, §§ 136-37, with further references</w:t>
      </w:r>
      <w:r w:rsidRPr="00387F54">
        <w:t>).</w:t>
      </w:r>
    </w:p>
    <w:p w:rsidR="009E1BDD" w:rsidRPr="00A01A51" w:rsidRDefault="002F3277" w:rsidP="00A01A51">
      <w:pPr>
        <w:pStyle w:val="ECHRHeading4"/>
        <w:rPr>
          <w:rStyle w:val="ECHRParaChar"/>
          <w:rFonts w:eastAsiaTheme="majorEastAsia"/>
          <w:sz w:val="20"/>
        </w:rPr>
      </w:pPr>
      <w:r w:rsidRPr="00A01A51">
        <w:rPr>
          <w:rStyle w:val="ECHRParaChar"/>
          <w:rFonts w:eastAsiaTheme="majorEastAsia"/>
          <w:sz w:val="20"/>
        </w:rPr>
        <w:t>(b)  </w:t>
      </w:r>
      <w:r w:rsidR="00AC182A" w:rsidRPr="00A01A51">
        <w:rPr>
          <w:rStyle w:val="ECHRParaChar"/>
          <w:rFonts w:eastAsiaTheme="majorEastAsia"/>
          <w:sz w:val="20"/>
        </w:rPr>
        <w:t>Existence of substantial grounds for believing that the applicant</w:t>
      </w:r>
      <w:r w:rsidR="00715C2B" w:rsidRPr="00A01A51">
        <w:rPr>
          <w:rStyle w:val="ECHRParaChar"/>
          <w:rFonts w:eastAsiaTheme="majorEastAsia"/>
          <w:sz w:val="20"/>
        </w:rPr>
        <w:t>s</w:t>
      </w:r>
      <w:r w:rsidR="00AC182A" w:rsidRPr="00A01A51">
        <w:rPr>
          <w:rStyle w:val="ECHRParaChar"/>
          <w:rFonts w:eastAsiaTheme="majorEastAsia"/>
          <w:sz w:val="20"/>
        </w:rPr>
        <w:t xml:space="preserve"> face a real risk of </w:t>
      </w:r>
      <w:r w:rsidR="00B77240" w:rsidRPr="00A01A51">
        <w:rPr>
          <w:rStyle w:val="ECHRParaChar"/>
          <w:rFonts w:eastAsiaTheme="majorEastAsia"/>
          <w:sz w:val="20"/>
        </w:rPr>
        <w:t xml:space="preserve">death and/or </w:t>
      </w:r>
      <w:r w:rsidR="00AC182A" w:rsidRPr="00A01A51">
        <w:rPr>
          <w:rStyle w:val="ECHRParaChar"/>
          <w:rFonts w:eastAsiaTheme="majorEastAsia"/>
          <w:sz w:val="20"/>
        </w:rPr>
        <w:t>ill-treatment</w:t>
      </w:r>
      <w:r w:rsidR="00E81341" w:rsidRPr="00A01A51">
        <w:rPr>
          <w:rStyle w:val="ECHRParaChar"/>
          <w:rFonts w:eastAsiaTheme="majorEastAsia"/>
          <w:sz w:val="20"/>
        </w:rPr>
        <w:t xml:space="preserve"> and their assessment by the national authorities</w:t>
      </w:r>
    </w:p>
    <w:p w:rsidR="00BE66A6" w:rsidRDefault="00AC182A" w:rsidP="00AC182A">
      <w:pPr>
        <w:pStyle w:val="ECHRPara"/>
      </w:pPr>
      <w:r>
        <w:fldChar w:fldCharType="begin"/>
      </w:r>
      <w:r>
        <w:instrText xml:space="preserve"> SEQ level0 \*arabic </w:instrText>
      </w:r>
      <w:r>
        <w:fldChar w:fldCharType="separate"/>
      </w:r>
      <w:r w:rsidR="00D21AD2">
        <w:rPr>
          <w:noProof/>
        </w:rPr>
        <w:t>110</w:t>
      </w:r>
      <w:r>
        <w:fldChar w:fldCharType="end"/>
      </w:r>
      <w:r>
        <w:t>.  </w:t>
      </w:r>
      <w:r w:rsidR="003247C6">
        <w:t xml:space="preserve">In view of </w:t>
      </w:r>
      <w:r w:rsidR="00E23F32">
        <w:t>the</w:t>
      </w:r>
      <w:r w:rsidR="003247C6">
        <w:t xml:space="preserve"> above, the Court w</w:t>
      </w:r>
      <w:r w:rsidR="00E23F32">
        <w:t>ill</w:t>
      </w:r>
      <w:r w:rsidR="003247C6">
        <w:t xml:space="preserve"> </w:t>
      </w:r>
      <w:r w:rsidR="003247C6">
        <w:rPr>
          <w:snapToGrid w:val="0"/>
        </w:rPr>
        <w:t>focus primarily on the examination of the applicants</w:t>
      </w:r>
      <w:r w:rsidR="00BA3D89">
        <w:rPr>
          <w:snapToGrid w:val="0"/>
        </w:rPr>
        <w:t>’</w:t>
      </w:r>
      <w:r w:rsidR="003247C6">
        <w:rPr>
          <w:snapToGrid w:val="0"/>
        </w:rPr>
        <w:t xml:space="preserve"> complaint in the context of </w:t>
      </w:r>
      <w:r w:rsidR="001E6C22">
        <w:rPr>
          <w:snapToGrid w:val="0"/>
        </w:rPr>
        <w:t xml:space="preserve">the </w:t>
      </w:r>
      <w:r w:rsidR="003247C6">
        <w:rPr>
          <w:snapToGrid w:val="0"/>
        </w:rPr>
        <w:t>proceedings</w:t>
      </w:r>
      <w:r w:rsidR="00B77240">
        <w:rPr>
          <w:snapToGrid w:val="0"/>
        </w:rPr>
        <w:t xml:space="preserve"> under the Code of Administrative Offences</w:t>
      </w:r>
      <w:r w:rsidR="003247C6">
        <w:rPr>
          <w:snapToGrid w:val="0"/>
        </w:rPr>
        <w:t xml:space="preserve"> (see paragraphs </w:t>
      </w:r>
      <w:r w:rsidR="00A35CA9" w:rsidRPr="00F7005A">
        <w:rPr>
          <w:snapToGrid w:val="0"/>
        </w:rPr>
        <w:t>100-04</w:t>
      </w:r>
      <w:r w:rsidR="003247C6">
        <w:rPr>
          <w:snapToGrid w:val="0"/>
        </w:rPr>
        <w:t>).</w:t>
      </w:r>
      <w:r w:rsidR="003247C6">
        <w:t xml:space="preserve"> </w:t>
      </w:r>
      <w:r w:rsidR="001E0D00">
        <w:t xml:space="preserve">The Court notes </w:t>
      </w:r>
      <w:r w:rsidR="009C509A">
        <w:t xml:space="preserve">that </w:t>
      </w:r>
      <w:r w:rsidR="003247C6">
        <w:t>in the</w:t>
      </w:r>
      <w:r w:rsidR="00B77240">
        <w:t>se</w:t>
      </w:r>
      <w:r w:rsidR="003247C6">
        <w:t xml:space="preserve"> </w:t>
      </w:r>
      <w:r w:rsidR="00B77240">
        <w:t>proceedings the applicants challenged the possibility of expulsion. T</w:t>
      </w:r>
      <w:r w:rsidR="001E0D00">
        <w:t>he</w:t>
      </w:r>
      <w:r w:rsidR="00B77240">
        <w:t>y</w:t>
      </w:r>
      <w:r w:rsidR="001E0D00">
        <w:t xml:space="preserve"> </w:t>
      </w:r>
      <w:r w:rsidR="000A57ED">
        <w:t xml:space="preserve">argued </w:t>
      </w:r>
      <w:r w:rsidR="001E0D00">
        <w:t>that they originat</w:t>
      </w:r>
      <w:r w:rsidR="000A57ED">
        <w:t>ed</w:t>
      </w:r>
      <w:r w:rsidR="003247C6">
        <w:t xml:space="preserve"> from Aleppo and Damascus</w:t>
      </w:r>
      <w:r w:rsidR="001E0D00">
        <w:t xml:space="preserve">, where heavy and indiscriminate fighting has been raging since 2012. </w:t>
      </w:r>
      <w:r w:rsidR="000A57ED">
        <w:t>In addition to the general information on the conflict in Syria, t</w:t>
      </w:r>
      <w:r w:rsidR="00243396">
        <w:t>h</w:t>
      </w:r>
      <w:r w:rsidR="00A119C2">
        <w:t>e</w:t>
      </w:r>
      <w:r w:rsidR="00295977">
        <w:t>y</w:t>
      </w:r>
      <w:r w:rsidR="000A57ED">
        <w:t xml:space="preserve"> </w:t>
      </w:r>
      <w:r w:rsidR="00A119C2">
        <w:t xml:space="preserve">pointed out </w:t>
      </w:r>
      <w:r w:rsidR="00243396">
        <w:t xml:space="preserve">the practice of the FMS in respect of </w:t>
      </w:r>
      <w:r w:rsidR="00407CA1">
        <w:t xml:space="preserve">people </w:t>
      </w:r>
      <w:r w:rsidR="00243396">
        <w:t>originating from Syria and the UNHCR recommendation not to carry out expulsions to Syria</w:t>
      </w:r>
      <w:r w:rsidR="00295977">
        <w:t>,</w:t>
      </w:r>
      <w:r w:rsidR="00243396">
        <w:t xml:space="preserve"> as well </w:t>
      </w:r>
      <w:r w:rsidR="00A119C2">
        <w:t xml:space="preserve">as </w:t>
      </w:r>
      <w:r w:rsidR="00243396">
        <w:t xml:space="preserve">information from the Federal </w:t>
      </w:r>
      <w:r w:rsidR="00CE4174">
        <w:t>Bailiff</w:t>
      </w:r>
      <w:r w:rsidR="00243396">
        <w:t xml:space="preserve"> Service on the impossibility </w:t>
      </w:r>
      <w:r w:rsidR="00D96912">
        <w:t xml:space="preserve">of ensuring </w:t>
      </w:r>
      <w:r w:rsidR="00243396">
        <w:t>travel t</w:t>
      </w:r>
      <w:r w:rsidR="001E6C22">
        <w:t>here</w:t>
      </w:r>
      <w:r w:rsidR="00243396">
        <w:t xml:space="preserve">. </w:t>
      </w:r>
      <w:r w:rsidR="00225F9D">
        <w:t xml:space="preserve">The applicants referred to a similar case decided in St. Petersburg where the City Court concluded that expulsion could not be carried out </w:t>
      </w:r>
      <w:r w:rsidR="001E4678">
        <w:t xml:space="preserve">and lifted </w:t>
      </w:r>
      <w:r w:rsidR="00C60EE8">
        <w:t>the additional punishment of expulsion</w:t>
      </w:r>
      <w:r w:rsidR="001E4678">
        <w:t xml:space="preserve"> </w:t>
      </w:r>
      <w:r w:rsidR="00225F9D">
        <w:t>(see paragraph</w:t>
      </w:r>
      <w:r w:rsidR="00196199">
        <w:t xml:space="preserve">s </w:t>
      </w:r>
      <w:r w:rsidR="00E83AD8">
        <w:rPr>
          <w:noProof/>
        </w:rPr>
        <w:t>12</w:t>
      </w:r>
      <w:r w:rsidR="00A35CA9">
        <w:t xml:space="preserve"> </w:t>
      </w:r>
      <w:r w:rsidR="00196199">
        <w:t>and</w:t>
      </w:r>
      <w:r w:rsidR="00225F9D">
        <w:t xml:space="preserve"> </w:t>
      </w:r>
      <w:r w:rsidR="00E83AD8">
        <w:rPr>
          <w:noProof/>
        </w:rPr>
        <w:t>72</w:t>
      </w:r>
      <w:r w:rsidR="00A35CA9">
        <w:t xml:space="preserve"> </w:t>
      </w:r>
      <w:r w:rsidR="00225F9D">
        <w:t xml:space="preserve">above). </w:t>
      </w:r>
      <w:r w:rsidR="000A57ED">
        <w:t xml:space="preserve">The statements of appeal also referred to the </w:t>
      </w:r>
      <w:r w:rsidR="000A57ED">
        <w:lastRenderedPageBreak/>
        <w:t xml:space="preserve">fact that the applicants had sought asylum in Russia (see paragraph </w:t>
      </w:r>
      <w:r w:rsidR="00E83AD8">
        <w:rPr>
          <w:noProof/>
        </w:rPr>
        <w:t>12</w:t>
      </w:r>
      <w:r w:rsidR="00A35CA9">
        <w:t xml:space="preserve"> </w:t>
      </w:r>
      <w:r w:rsidR="000A57ED">
        <w:t>above).</w:t>
      </w:r>
    </w:p>
    <w:p w:rsidR="009E1BDD" w:rsidRDefault="009D1DDC" w:rsidP="00AC182A">
      <w:pPr>
        <w:pStyle w:val="ECHRPara"/>
      </w:pPr>
      <w:r>
        <w:fldChar w:fldCharType="begin"/>
      </w:r>
      <w:r>
        <w:instrText xml:space="preserve"> SEQ level0 \*arabic </w:instrText>
      </w:r>
      <w:r>
        <w:fldChar w:fldCharType="separate"/>
      </w:r>
      <w:r w:rsidR="00D21AD2">
        <w:rPr>
          <w:noProof/>
        </w:rPr>
        <w:t>111</w:t>
      </w:r>
      <w:r>
        <w:fldChar w:fldCharType="end"/>
      </w:r>
      <w:r>
        <w:t>.  The applicants</w:t>
      </w:r>
      <w:r w:rsidR="00E245C3">
        <w:t xml:space="preserve"> then submitted </w:t>
      </w:r>
      <w:r w:rsidR="00A119C2">
        <w:t xml:space="preserve">to the </w:t>
      </w:r>
      <w:r w:rsidR="00225F9D">
        <w:t>authorities</w:t>
      </w:r>
      <w:r w:rsidR="00E245C3">
        <w:t xml:space="preserve"> additional</w:t>
      </w:r>
      <w:r>
        <w:t xml:space="preserve"> and individualised </w:t>
      </w:r>
      <w:r w:rsidR="00C069BF">
        <w:t xml:space="preserve">information </w:t>
      </w:r>
      <w:r w:rsidR="00E245C3">
        <w:t xml:space="preserve">about the risks </w:t>
      </w:r>
      <w:r>
        <w:t xml:space="preserve">in </w:t>
      </w:r>
      <w:r w:rsidR="001E6C22">
        <w:t>the event</w:t>
      </w:r>
      <w:r>
        <w:t xml:space="preserve"> of return </w:t>
      </w:r>
      <w:r w:rsidR="009C509A">
        <w:t>during</w:t>
      </w:r>
      <w:r>
        <w:t xml:space="preserve"> </w:t>
      </w:r>
      <w:r w:rsidR="007B05A7">
        <w:t xml:space="preserve">the </w:t>
      </w:r>
      <w:r>
        <w:t xml:space="preserve">proceedings aimed at obtaining refugee status and temporary asylum (see paragraphs </w:t>
      </w:r>
      <w:r w:rsidRPr="00F7005A">
        <w:t>37-39</w:t>
      </w:r>
      <w:r>
        <w:t xml:space="preserve"> above)</w:t>
      </w:r>
      <w:r w:rsidR="003247C6">
        <w:t xml:space="preserve">, which were </w:t>
      </w:r>
      <w:r w:rsidR="007B05A7">
        <w:t xml:space="preserve">either </w:t>
      </w:r>
      <w:r w:rsidR="003247C6">
        <w:t xml:space="preserve">rejected or remained incomplete for the reasons stated above (see paragraph </w:t>
      </w:r>
      <w:r w:rsidR="003247C6" w:rsidRPr="00F7005A">
        <w:t>10</w:t>
      </w:r>
      <w:r w:rsidR="00A35CA9" w:rsidRPr="00F7005A">
        <w:t>5</w:t>
      </w:r>
      <w:r w:rsidR="003247C6">
        <w:t xml:space="preserve"> above)</w:t>
      </w:r>
      <w:r>
        <w:t>.</w:t>
      </w:r>
    </w:p>
    <w:p w:rsidR="009E1BDD" w:rsidRDefault="00E81341" w:rsidP="00AC182A">
      <w:pPr>
        <w:pStyle w:val="ECHRPara"/>
      </w:pPr>
      <w:r>
        <w:fldChar w:fldCharType="begin"/>
      </w:r>
      <w:r>
        <w:instrText xml:space="preserve"> SEQ level0 \*arabic </w:instrText>
      </w:r>
      <w:r>
        <w:fldChar w:fldCharType="separate"/>
      </w:r>
      <w:r w:rsidR="00D21AD2">
        <w:rPr>
          <w:noProof/>
        </w:rPr>
        <w:t>112</w:t>
      </w:r>
      <w:r>
        <w:fldChar w:fldCharType="end"/>
      </w:r>
      <w:r>
        <w:t>.  </w:t>
      </w:r>
      <w:r w:rsidR="001E6C22">
        <w:t>Lastly</w:t>
      </w:r>
      <w:r>
        <w:t xml:space="preserve">, the Court does not lose sight of the fact that the arrival of a </w:t>
      </w:r>
      <w:r w:rsidR="00C60EE8">
        <w:t>significant</w:t>
      </w:r>
      <w:r>
        <w:t xml:space="preserve"> number of asylum seekers from Syria and the need </w:t>
      </w:r>
      <w:r w:rsidR="001E6C22">
        <w:t>for this group to have</w:t>
      </w:r>
      <w:r>
        <w:t xml:space="preserve"> international protection could not </w:t>
      </w:r>
      <w:r w:rsidR="001E6C22">
        <w:t>have been</w:t>
      </w:r>
      <w:r>
        <w:t xml:space="preserve"> unknown to </w:t>
      </w:r>
      <w:r w:rsidR="001E4678">
        <w:t xml:space="preserve">the </w:t>
      </w:r>
      <w:r w:rsidR="00225F9D" w:rsidRPr="00431AB6">
        <w:t>relevant a</w:t>
      </w:r>
      <w:r w:rsidR="001E4678">
        <w:t>uthorities</w:t>
      </w:r>
      <w:r w:rsidR="00C60EE8">
        <w:t>, as attested by</w:t>
      </w:r>
      <w:r w:rsidRPr="00431AB6">
        <w:t xml:space="preserve"> </w:t>
      </w:r>
      <w:r w:rsidR="00C60EE8">
        <w:t>t</w:t>
      </w:r>
      <w:r w:rsidRPr="00431AB6">
        <w:t xml:space="preserve">he position of the FMS </w:t>
      </w:r>
      <w:r w:rsidR="003633B7">
        <w:t>which had</w:t>
      </w:r>
      <w:r w:rsidR="00C60EE8">
        <w:t xml:space="preserve"> been </w:t>
      </w:r>
      <w:r w:rsidRPr="00431AB6">
        <w:t>brought to</w:t>
      </w:r>
      <w:r>
        <w:t xml:space="preserve"> </w:t>
      </w:r>
      <w:r w:rsidR="001E4678">
        <w:t>the</w:t>
      </w:r>
      <w:r w:rsidR="00225F9D">
        <w:t xml:space="preserve"> attention </w:t>
      </w:r>
      <w:r w:rsidR="001E4678">
        <w:t xml:space="preserve">of the Regional Court </w:t>
      </w:r>
      <w:r w:rsidR="00225F9D">
        <w:t xml:space="preserve">(see paragraph </w:t>
      </w:r>
      <w:r w:rsidR="00E83AD8">
        <w:rPr>
          <w:noProof/>
        </w:rPr>
        <w:t>12</w:t>
      </w:r>
      <w:r w:rsidR="00A35CA9">
        <w:t xml:space="preserve"> </w:t>
      </w:r>
      <w:r w:rsidR="00225F9D">
        <w:t>above).</w:t>
      </w:r>
    </w:p>
    <w:p w:rsidR="009E1BDD" w:rsidRDefault="00196199" w:rsidP="00AC182A">
      <w:pPr>
        <w:pStyle w:val="ECHRPara"/>
      </w:pPr>
      <w:r>
        <w:fldChar w:fldCharType="begin"/>
      </w:r>
      <w:r>
        <w:instrText xml:space="preserve"> SEQ level0 \*arabic </w:instrText>
      </w:r>
      <w:r>
        <w:fldChar w:fldCharType="separate"/>
      </w:r>
      <w:r w:rsidR="00D21AD2">
        <w:rPr>
          <w:noProof/>
        </w:rPr>
        <w:t>113</w:t>
      </w:r>
      <w:r>
        <w:fldChar w:fldCharType="end"/>
      </w:r>
      <w:r>
        <w:t xml:space="preserve">.  In </w:t>
      </w:r>
      <w:r w:rsidR="00D96912">
        <w:t xml:space="preserve">the </w:t>
      </w:r>
      <w:r>
        <w:t>circumstances</w:t>
      </w:r>
      <w:r w:rsidR="00D96912">
        <w:t>,</w:t>
      </w:r>
      <w:r>
        <w:t xml:space="preserve"> the Court </w:t>
      </w:r>
      <w:r w:rsidR="00431AB6">
        <w:t xml:space="preserve">finds </w:t>
      </w:r>
      <w:r>
        <w:t xml:space="preserve">that the applicants </w:t>
      </w:r>
      <w:r w:rsidRPr="00387F54">
        <w:t xml:space="preserve">presented the national authorities with substantial grounds for believing that </w:t>
      </w:r>
      <w:r>
        <w:t>they</w:t>
      </w:r>
      <w:r w:rsidRPr="00387F54">
        <w:t xml:space="preserve"> faced a real risk </w:t>
      </w:r>
      <w:r w:rsidR="001E4678">
        <w:t xml:space="preserve">to their lives and </w:t>
      </w:r>
      <w:r w:rsidR="00B77240">
        <w:t xml:space="preserve">personal </w:t>
      </w:r>
      <w:r w:rsidR="001E4678">
        <w:t>security</w:t>
      </w:r>
      <w:r w:rsidRPr="00387F54">
        <w:t xml:space="preserve"> </w:t>
      </w:r>
      <w:r w:rsidR="007B05A7">
        <w:t>if expelled</w:t>
      </w:r>
      <w:r>
        <w:t xml:space="preserve">. It remains to be addressed whether </w:t>
      </w:r>
      <w:r w:rsidRPr="00387F54">
        <w:t>the claim has been assessed adequately by the competent national authorities</w:t>
      </w:r>
      <w:r>
        <w:t>.</w:t>
      </w:r>
    </w:p>
    <w:p w:rsidR="00AC182A" w:rsidRPr="00A01A51" w:rsidRDefault="00AC182A" w:rsidP="00A01A51">
      <w:pPr>
        <w:pStyle w:val="ECHRHeading4"/>
        <w:rPr>
          <w:rStyle w:val="ECHRParaChar"/>
          <w:rFonts w:eastAsiaTheme="majorEastAsia"/>
          <w:sz w:val="20"/>
        </w:rPr>
      </w:pPr>
      <w:r w:rsidRPr="00A01A51">
        <w:rPr>
          <w:rStyle w:val="ECHRParaChar"/>
          <w:rFonts w:eastAsiaTheme="majorEastAsia"/>
          <w:sz w:val="20"/>
        </w:rPr>
        <w:t>(c</w:t>
      </w:r>
      <w:r w:rsidR="000E7B2C" w:rsidRPr="00A01A51">
        <w:rPr>
          <w:rStyle w:val="ECHRParaChar"/>
          <w:rFonts w:eastAsiaTheme="majorEastAsia"/>
          <w:sz w:val="20"/>
        </w:rPr>
        <w:t>)</w:t>
      </w:r>
      <w:r w:rsidR="002F3277" w:rsidRPr="00A01A51">
        <w:rPr>
          <w:rStyle w:val="ECHRParaChar"/>
          <w:rFonts w:eastAsiaTheme="majorEastAsia"/>
          <w:sz w:val="20"/>
        </w:rPr>
        <w:t>  </w:t>
      </w:r>
      <w:r w:rsidRPr="00A01A51">
        <w:rPr>
          <w:rStyle w:val="ECHRParaChar"/>
          <w:rFonts w:eastAsiaTheme="majorEastAsia"/>
          <w:sz w:val="20"/>
        </w:rPr>
        <w:t>Duty to assess claims of a real risk of ill-treatment relying on sufficient relevant material</w:t>
      </w:r>
    </w:p>
    <w:p w:rsidR="00AC182A" w:rsidRPr="00BC37D6" w:rsidRDefault="000A555E" w:rsidP="00037E76">
      <w:pPr>
        <w:pStyle w:val="ECHRPara"/>
      </w:pPr>
      <w:r>
        <w:fldChar w:fldCharType="begin"/>
      </w:r>
      <w:r>
        <w:instrText xml:space="preserve"> SEQ level0 \*arabic </w:instrText>
      </w:r>
      <w:r>
        <w:fldChar w:fldCharType="separate"/>
      </w:r>
      <w:r w:rsidR="00D21AD2">
        <w:rPr>
          <w:noProof/>
        </w:rPr>
        <w:t>114</w:t>
      </w:r>
      <w:r>
        <w:fldChar w:fldCharType="end"/>
      </w:r>
      <w:r w:rsidRPr="00E83AD8">
        <w:t>.  </w:t>
      </w:r>
      <w:r w:rsidR="00AC182A" w:rsidRPr="00E83AD8">
        <w:t>The Court notes that the applicant</w:t>
      </w:r>
      <w:r w:rsidR="00037E76" w:rsidRPr="00E83AD8">
        <w:t>s</w:t>
      </w:r>
      <w:r w:rsidR="00AC182A" w:rsidRPr="00E83AD8">
        <w:t xml:space="preserve"> argued before the domestic courts that </w:t>
      </w:r>
      <w:r w:rsidR="00037E76" w:rsidRPr="00E83AD8">
        <w:t>their expulsion</w:t>
      </w:r>
      <w:r w:rsidR="00AC182A" w:rsidRPr="00E83AD8">
        <w:t xml:space="preserve"> would expose </w:t>
      </w:r>
      <w:r w:rsidR="00037E76" w:rsidRPr="00E83AD8">
        <w:t>them</w:t>
      </w:r>
      <w:r w:rsidR="00AC182A" w:rsidRPr="00E83AD8">
        <w:t xml:space="preserve"> to a real risk of being subjected to treatment contrary to Article</w:t>
      </w:r>
      <w:r w:rsidR="00037E76" w:rsidRPr="00E83AD8">
        <w:t>s 2 and</w:t>
      </w:r>
      <w:r w:rsidR="00AC182A" w:rsidRPr="00E83AD8">
        <w:t xml:space="preserve"> 3, and in the </w:t>
      </w:r>
      <w:r w:rsidR="00F34C8B" w:rsidRPr="00E83AD8">
        <w:t>Government</w:t>
      </w:r>
      <w:r w:rsidR="00BA3D89">
        <w:t>’</w:t>
      </w:r>
      <w:r w:rsidR="00F34C8B" w:rsidRPr="00E83AD8">
        <w:t>s</w:t>
      </w:r>
      <w:r w:rsidR="00AC182A" w:rsidRPr="00E83AD8">
        <w:t xml:space="preserve"> opinion this argument had been adequately considered by the domestic courts and rejected.</w:t>
      </w:r>
    </w:p>
    <w:p w:rsidR="009E1BDD" w:rsidRDefault="00037E76" w:rsidP="00037E76">
      <w:pPr>
        <w:pStyle w:val="ECHRPara"/>
      </w:pPr>
      <w:r>
        <w:fldChar w:fldCharType="begin"/>
      </w:r>
      <w:r>
        <w:instrText xml:space="preserve"> SEQ level0 \*arabic </w:instrText>
      </w:r>
      <w:r>
        <w:fldChar w:fldCharType="separate"/>
      </w:r>
      <w:r w:rsidR="00D21AD2">
        <w:rPr>
          <w:noProof/>
        </w:rPr>
        <w:t>115</w:t>
      </w:r>
      <w:r>
        <w:fldChar w:fldCharType="end"/>
      </w:r>
      <w:r w:rsidRPr="00E83AD8">
        <w:t>.  </w:t>
      </w:r>
      <w:r w:rsidR="00E33C6B" w:rsidRPr="00E83AD8">
        <w:t xml:space="preserve">As to the proceedings </w:t>
      </w:r>
      <w:r w:rsidR="00353755" w:rsidRPr="00E83AD8">
        <w:t>which had resulted in</w:t>
      </w:r>
      <w:r w:rsidR="00E33C6B" w:rsidRPr="00E83AD8">
        <w:t xml:space="preserve"> the expulsion</w:t>
      </w:r>
      <w:r w:rsidR="00353755" w:rsidRPr="00E83AD8">
        <w:t xml:space="preserve"> order</w:t>
      </w:r>
      <w:r w:rsidR="00E33C6B" w:rsidRPr="00E83AD8">
        <w:t>, the Court notes that the scope of review by the domestic courts was largely confined to establish</w:t>
      </w:r>
      <w:r w:rsidR="001478C2" w:rsidRPr="00E83AD8">
        <w:t>ing that</w:t>
      </w:r>
      <w:r w:rsidR="00E33C6B" w:rsidRPr="00E83AD8">
        <w:t xml:space="preserve"> </w:t>
      </w:r>
      <w:r w:rsidR="001E6C22" w:rsidRPr="00E83AD8">
        <w:t xml:space="preserve">their </w:t>
      </w:r>
      <w:r w:rsidR="00E33C6B" w:rsidRPr="00E83AD8">
        <w:t xml:space="preserve">presence in Russia had been illegal. </w:t>
      </w:r>
      <w:r w:rsidR="003247C6" w:rsidRPr="00E83AD8">
        <w:t>Both</w:t>
      </w:r>
      <w:r w:rsidR="001478C2" w:rsidRPr="00E83AD8">
        <w:t xml:space="preserve"> the </w:t>
      </w:r>
      <w:proofErr w:type="spellStart"/>
      <w:r w:rsidR="001478C2" w:rsidRPr="00E83AD8">
        <w:t>Maloyaroslavets</w:t>
      </w:r>
      <w:proofErr w:type="spellEnd"/>
      <w:r w:rsidR="001478C2" w:rsidRPr="00E83AD8">
        <w:t xml:space="preserve"> District</w:t>
      </w:r>
      <w:r w:rsidR="00A4075B" w:rsidRPr="00E83AD8">
        <w:t xml:space="preserve"> </w:t>
      </w:r>
      <w:r w:rsidR="001478C2" w:rsidRPr="00E83AD8">
        <w:t>C</w:t>
      </w:r>
      <w:r w:rsidR="00A4075B" w:rsidRPr="00E83AD8">
        <w:t xml:space="preserve">ourt and Kaluga Regional Court had avoided engaging in any in-depth discussion </w:t>
      </w:r>
      <w:r w:rsidR="001E6C22" w:rsidRPr="00E83AD8">
        <w:t>about</w:t>
      </w:r>
      <w:r w:rsidR="00A4075B" w:rsidRPr="00E83AD8">
        <w:t xml:space="preserve"> the dangers referred to by the applicants and </w:t>
      </w:r>
      <w:r w:rsidR="001478C2" w:rsidRPr="00E83AD8">
        <w:t>the wide range of international and national sources describing the current situation in Syria. In this connection</w:t>
      </w:r>
      <w:r w:rsidR="001E6C22" w:rsidRPr="00E83AD8">
        <w:t>,</w:t>
      </w:r>
      <w:r w:rsidR="001478C2" w:rsidRPr="00E83AD8">
        <w:t xml:space="preserve"> the Court reiterates that, in view of the absolute nature of Article 3, it is not possible to weigh the risk of ill-treatment against the reasons put forward for expulsion (see </w:t>
      </w:r>
      <w:proofErr w:type="spellStart"/>
      <w:r w:rsidR="001478C2" w:rsidRPr="00E83AD8">
        <w:rPr>
          <w:i/>
        </w:rPr>
        <w:t>Abdolkhani</w:t>
      </w:r>
      <w:proofErr w:type="spellEnd"/>
      <w:r w:rsidR="001478C2" w:rsidRPr="00E83AD8">
        <w:rPr>
          <w:i/>
        </w:rPr>
        <w:t xml:space="preserve"> and </w:t>
      </w:r>
      <w:proofErr w:type="spellStart"/>
      <w:r w:rsidR="001478C2" w:rsidRPr="00E83AD8">
        <w:rPr>
          <w:i/>
        </w:rPr>
        <w:t>Karimnia</w:t>
      </w:r>
      <w:proofErr w:type="spellEnd"/>
      <w:r w:rsidR="001478C2" w:rsidRPr="00E83AD8">
        <w:rPr>
          <w:i/>
        </w:rPr>
        <w:t xml:space="preserve"> v. Turkey</w:t>
      </w:r>
      <w:r w:rsidR="000A555E" w:rsidRPr="00E83AD8">
        <w:t>, no. </w:t>
      </w:r>
      <w:r w:rsidR="001478C2" w:rsidRPr="00E83AD8">
        <w:t>30471/08, § 91, 22</w:t>
      </w:r>
      <w:r w:rsidR="002F3277" w:rsidRPr="00E83AD8">
        <w:t> </w:t>
      </w:r>
      <w:r w:rsidR="001478C2" w:rsidRPr="00E83AD8">
        <w:t>September 2009).</w:t>
      </w:r>
      <w:r w:rsidR="008D1367" w:rsidRPr="00E83AD8">
        <w:t xml:space="preserve"> </w:t>
      </w:r>
      <w:r w:rsidR="002C2630" w:rsidRPr="00E83AD8">
        <w:t>The courts</w:t>
      </w:r>
      <w:r w:rsidR="00BA3D89">
        <w:t>’</w:t>
      </w:r>
      <w:r w:rsidR="002C2630" w:rsidRPr="00E83AD8">
        <w:t xml:space="preserve"> approach in this case</w:t>
      </w:r>
      <w:r w:rsidR="006B6A7F" w:rsidRPr="00E83AD8">
        <w:t xml:space="preserve"> is</w:t>
      </w:r>
      <w:r w:rsidR="002C2630" w:rsidRPr="00E83AD8">
        <w:t xml:space="preserve"> </w:t>
      </w:r>
      <w:r w:rsidR="006B6A7F" w:rsidRPr="00E83AD8">
        <w:t xml:space="preserve">particularly regretful </w:t>
      </w:r>
      <w:r w:rsidR="002C2630" w:rsidRPr="00E83AD8">
        <w:t xml:space="preserve">since there </w:t>
      </w:r>
      <w:proofErr w:type="gramStart"/>
      <w:r w:rsidR="002C2630" w:rsidRPr="00E83AD8">
        <w:t>exists</w:t>
      </w:r>
      <w:proofErr w:type="gramEnd"/>
      <w:r w:rsidR="002C2630" w:rsidRPr="00E83AD8">
        <w:t xml:space="preserve"> a national practice whereby the domestic courts, including the Supreme Court, </w:t>
      </w:r>
      <w:r w:rsidR="00D318F8" w:rsidRPr="00E83AD8">
        <w:t xml:space="preserve">when considering administrative offences in the immigration sphere </w:t>
      </w:r>
      <w:r w:rsidR="002C2630" w:rsidRPr="00E83AD8">
        <w:t xml:space="preserve">take into account and accord sufficient weight to the arguments of real risk of ill-treatment </w:t>
      </w:r>
      <w:r w:rsidR="009D750F" w:rsidRPr="00E83AD8">
        <w:t>advanced by</w:t>
      </w:r>
      <w:r w:rsidR="00D318F8" w:rsidRPr="00E83AD8">
        <w:t xml:space="preserve"> the claimants. As a result</w:t>
      </w:r>
      <w:r w:rsidR="00A204B2" w:rsidRPr="00E83AD8">
        <w:t xml:space="preserve"> of such examination</w:t>
      </w:r>
      <w:r w:rsidR="00D318F8" w:rsidRPr="00E83AD8">
        <w:t>,</w:t>
      </w:r>
      <w:r w:rsidR="002C2630" w:rsidRPr="00E83AD8">
        <w:t xml:space="preserve"> the expulsion orders </w:t>
      </w:r>
      <w:r w:rsidR="00D318F8" w:rsidRPr="00E83AD8">
        <w:t xml:space="preserve">can be lifted </w:t>
      </w:r>
      <w:r w:rsidR="002C2630" w:rsidRPr="00E83AD8">
        <w:t xml:space="preserve">(see paragraphs </w:t>
      </w:r>
      <w:r w:rsidR="00E83AD8">
        <w:rPr>
          <w:noProof/>
        </w:rPr>
        <w:t>71</w:t>
      </w:r>
      <w:r w:rsidR="002C2630" w:rsidRPr="00E83AD8">
        <w:t>-</w:t>
      </w:r>
      <w:r w:rsidR="00E83AD8">
        <w:rPr>
          <w:noProof/>
        </w:rPr>
        <w:t>73</w:t>
      </w:r>
      <w:r w:rsidR="002C2630" w:rsidRPr="00E83AD8">
        <w:t xml:space="preserve"> above).</w:t>
      </w:r>
    </w:p>
    <w:p w:rsidR="006B6A7F" w:rsidRPr="00E83AD8" w:rsidRDefault="006B6A7F" w:rsidP="00037E76">
      <w:pPr>
        <w:pStyle w:val="ECHRPara"/>
      </w:pPr>
      <w:r>
        <w:fldChar w:fldCharType="begin"/>
      </w:r>
      <w:r>
        <w:instrText xml:space="preserve"> SEQ level0 \*arabic </w:instrText>
      </w:r>
      <w:r>
        <w:fldChar w:fldCharType="separate"/>
      </w:r>
      <w:r w:rsidR="00D21AD2">
        <w:rPr>
          <w:noProof/>
        </w:rPr>
        <w:t>116</w:t>
      </w:r>
      <w:r>
        <w:fldChar w:fldCharType="end"/>
      </w:r>
      <w:r w:rsidRPr="00E83AD8">
        <w:t>.  </w:t>
      </w:r>
      <w:r w:rsidR="001478C2" w:rsidRPr="00E83AD8">
        <w:t xml:space="preserve">The applicants and the Federal </w:t>
      </w:r>
      <w:r w:rsidR="00CE4174" w:rsidRPr="00E83AD8">
        <w:t>Bailiff</w:t>
      </w:r>
      <w:r w:rsidR="001478C2" w:rsidRPr="00E83AD8">
        <w:t xml:space="preserve"> Service </w:t>
      </w:r>
      <w:r w:rsidR="00483F41" w:rsidRPr="00E83AD8">
        <w:t xml:space="preserve">attempted </w:t>
      </w:r>
      <w:r w:rsidR="001478C2" w:rsidRPr="00E83AD8">
        <w:t xml:space="preserve">to </w:t>
      </w:r>
      <w:r w:rsidR="00C253F0" w:rsidRPr="00E83AD8">
        <w:t>reverse</w:t>
      </w:r>
      <w:r w:rsidR="001478C2" w:rsidRPr="00E83AD8">
        <w:t xml:space="preserve"> the orders of expulsion, or at least</w:t>
      </w:r>
      <w:r w:rsidR="000A555E" w:rsidRPr="00E83AD8">
        <w:t xml:space="preserve"> to have them suspended</w:t>
      </w:r>
      <w:r w:rsidR="00295977" w:rsidRPr="00E83AD8">
        <w:t>;</w:t>
      </w:r>
      <w:r w:rsidR="00483F41" w:rsidRPr="00E83AD8">
        <w:t xml:space="preserve"> </w:t>
      </w:r>
      <w:r w:rsidR="00295977" w:rsidRPr="00E83AD8">
        <w:t>h</w:t>
      </w:r>
      <w:r w:rsidR="00483F41" w:rsidRPr="00E83AD8">
        <w:t>owever, t</w:t>
      </w:r>
      <w:r w:rsidR="001478C2" w:rsidRPr="00E83AD8">
        <w:t xml:space="preserve">he </w:t>
      </w:r>
      <w:r w:rsidR="001478C2" w:rsidRPr="00E83AD8">
        <w:lastRenderedPageBreak/>
        <w:t xml:space="preserve">courts remained equally dismissive and focused on the </w:t>
      </w:r>
      <w:r w:rsidR="0012722A" w:rsidRPr="00E83AD8">
        <w:t>nature of the offences committed</w:t>
      </w:r>
      <w:r w:rsidR="001478C2" w:rsidRPr="00E83AD8">
        <w:t xml:space="preserve"> </w:t>
      </w:r>
      <w:r w:rsidR="00483F41" w:rsidRPr="00E83AD8">
        <w:t xml:space="preserve">rather than on </w:t>
      </w:r>
      <w:r w:rsidR="007617DE" w:rsidRPr="00E83AD8">
        <w:t>an</w:t>
      </w:r>
      <w:r w:rsidR="00483F41" w:rsidRPr="00E83AD8">
        <w:t xml:space="preserve"> evaluation of the applicants</w:t>
      </w:r>
      <w:r w:rsidR="00BA3D89">
        <w:t>’</w:t>
      </w:r>
      <w:r w:rsidR="00483F41" w:rsidRPr="00E83AD8">
        <w:t xml:space="preserve"> claims made under Articles 2 and 3 </w:t>
      </w:r>
      <w:r w:rsidR="00955CA4" w:rsidRPr="00E83AD8">
        <w:t>(</w:t>
      </w:r>
      <w:r w:rsidR="001478C2" w:rsidRPr="00E83AD8">
        <w:t xml:space="preserve">see paragraphs </w:t>
      </w:r>
      <w:r w:rsidR="00E83AD8">
        <w:rPr>
          <w:noProof/>
        </w:rPr>
        <w:t>14</w:t>
      </w:r>
      <w:r w:rsidR="00F13BCC" w:rsidRPr="00E83AD8">
        <w:t>-</w:t>
      </w:r>
      <w:r w:rsidR="00E83AD8">
        <w:rPr>
          <w:noProof/>
        </w:rPr>
        <w:t>17</w:t>
      </w:r>
      <w:r w:rsidR="00F13BCC" w:rsidRPr="00E83AD8">
        <w:t xml:space="preserve"> </w:t>
      </w:r>
      <w:r w:rsidR="005A08C4" w:rsidRPr="00E83AD8">
        <w:t>above</w:t>
      </w:r>
      <w:r w:rsidR="0012722A" w:rsidRPr="00E83AD8">
        <w:t>).</w:t>
      </w:r>
    </w:p>
    <w:p w:rsidR="009E1BDD" w:rsidRDefault="00166442" w:rsidP="00037E76">
      <w:pPr>
        <w:pStyle w:val="ECHRPara"/>
      </w:pPr>
      <w:r>
        <w:fldChar w:fldCharType="begin"/>
      </w:r>
      <w:r>
        <w:instrText xml:space="preserve"> SEQ level0 \*arabic </w:instrText>
      </w:r>
      <w:r>
        <w:fldChar w:fldCharType="separate"/>
      </w:r>
      <w:r w:rsidR="00D21AD2">
        <w:rPr>
          <w:noProof/>
        </w:rPr>
        <w:t>117</w:t>
      </w:r>
      <w:r>
        <w:fldChar w:fldCharType="end"/>
      </w:r>
      <w:r w:rsidRPr="00E83AD8">
        <w:t>.  </w:t>
      </w:r>
      <w:r>
        <w:t xml:space="preserve">The Court has </w:t>
      </w:r>
      <w:r w:rsidR="003247C6">
        <w:t xml:space="preserve">already </w:t>
      </w:r>
      <w:r>
        <w:t xml:space="preserve">found that the applicants attempted to lodge requests for asylum and refugee status, but were prevented from </w:t>
      </w:r>
      <w:r w:rsidR="003247C6">
        <w:t xml:space="preserve">effectively </w:t>
      </w:r>
      <w:r>
        <w:t>participating in these proceedings</w:t>
      </w:r>
      <w:r w:rsidR="00C253F0">
        <w:t xml:space="preserve"> (see </w:t>
      </w:r>
      <w:r w:rsidR="002A1D84" w:rsidRPr="00F7005A">
        <w:rPr>
          <w:rFonts w:ascii="Times New Roman" w:hAnsi="Times New Roman"/>
          <w:color w:val="000000" w:themeColor="text1"/>
          <w:szCs w:val="24"/>
        </w:rPr>
        <w:t>paragraphs 101</w:t>
      </w:r>
      <w:r w:rsidR="002A1D84" w:rsidRPr="002A1D84">
        <w:rPr>
          <w:rFonts w:ascii="Times New Roman" w:hAnsi="Times New Roman"/>
          <w:b/>
          <w:color w:val="000000" w:themeColor="text1"/>
          <w:szCs w:val="24"/>
        </w:rPr>
        <w:t>-</w:t>
      </w:r>
      <w:r w:rsidR="009E1BDD">
        <w:t>05</w:t>
      </w:r>
      <w:r w:rsidR="007617DE">
        <w:t xml:space="preserve"> </w:t>
      </w:r>
      <w:r w:rsidR="00C253F0">
        <w:t>above)</w:t>
      </w:r>
      <w:r>
        <w:t>.</w:t>
      </w:r>
    </w:p>
    <w:p w:rsidR="0012722A" w:rsidRDefault="0012722A" w:rsidP="00037E76">
      <w:pPr>
        <w:pStyle w:val="ECHRPara"/>
      </w:pPr>
      <w:r>
        <w:fldChar w:fldCharType="begin"/>
      </w:r>
      <w:r>
        <w:instrText xml:space="preserve"> SEQ level0 \*arabic </w:instrText>
      </w:r>
      <w:r>
        <w:fldChar w:fldCharType="separate"/>
      </w:r>
      <w:r w:rsidR="00D21AD2">
        <w:rPr>
          <w:noProof/>
        </w:rPr>
        <w:t>118</w:t>
      </w:r>
      <w:r>
        <w:fldChar w:fldCharType="end"/>
      </w:r>
      <w:r w:rsidRPr="00E83AD8">
        <w:t>.  </w:t>
      </w:r>
      <w:r w:rsidRPr="0012722A">
        <w:t>Having regard to the foregoing, the Court is not persuaded that the applicants</w:t>
      </w:r>
      <w:r w:rsidR="00BA3D89">
        <w:t>’</w:t>
      </w:r>
      <w:r w:rsidRPr="0012722A">
        <w:t xml:space="preserve"> allegations have been duly examined by the domestic authorities</w:t>
      </w:r>
      <w:r w:rsidR="003247C6">
        <w:t xml:space="preserve"> in any of the proceedings employed</w:t>
      </w:r>
      <w:r w:rsidRPr="0012722A">
        <w:t>. It must, accordingly, assess whether there exists a real risk that the applicant</w:t>
      </w:r>
      <w:r>
        <w:t>s</w:t>
      </w:r>
      <w:r w:rsidRPr="0012722A">
        <w:t xml:space="preserve"> would be subjected to treatment proscribed by Article</w:t>
      </w:r>
      <w:r>
        <w:t>s 2 and/or</w:t>
      </w:r>
      <w:r w:rsidRPr="0012722A">
        <w:t xml:space="preserve"> 3 if </w:t>
      </w:r>
      <w:r>
        <w:t>they</w:t>
      </w:r>
      <w:r w:rsidRPr="0012722A">
        <w:t xml:space="preserve"> were removed to </w:t>
      </w:r>
      <w:r>
        <w:t>Syria</w:t>
      </w:r>
      <w:r w:rsidRPr="0012722A">
        <w:t>.</w:t>
      </w:r>
    </w:p>
    <w:p w:rsidR="00E14CF0" w:rsidRPr="00A01A51" w:rsidRDefault="000E7B2C" w:rsidP="00A01A51">
      <w:pPr>
        <w:pStyle w:val="ECHRHeading4"/>
        <w:rPr>
          <w:rStyle w:val="ECHRParaChar"/>
          <w:rFonts w:eastAsiaTheme="majorEastAsia"/>
          <w:sz w:val="20"/>
        </w:rPr>
      </w:pPr>
      <w:r w:rsidRPr="00A01A51">
        <w:rPr>
          <w:rStyle w:val="ECHRParaChar"/>
          <w:rFonts w:eastAsiaTheme="majorEastAsia"/>
          <w:sz w:val="20"/>
        </w:rPr>
        <w:t>(</w:t>
      </w:r>
      <w:r w:rsidR="0081159E" w:rsidRPr="00A01A51">
        <w:rPr>
          <w:rStyle w:val="ECHRParaChar"/>
          <w:rFonts w:eastAsiaTheme="majorEastAsia"/>
          <w:sz w:val="20"/>
        </w:rPr>
        <w:t>d</w:t>
      </w:r>
      <w:r w:rsidR="002F3277" w:rsidRPr="00A01A51">
        <w:rPr>
          <w:rStyle w:val="ECHRParaChar"/>
          <w:rFonts w:eastAsiaTheme="majorEastAsia"/>
          <w:sz w:val="20"/>
        </w:rPr>
        <w:t>)  </w:t>
      </w:r>
      <w:r w:rsidR="001436E5" w:rsidRPr="00A01A51">
        <w:rPr>
          <w:rStyle w:val="ECHRParaChar"/>
          <w:rFonts w:eastAsiaTheme="majorEastAsia"/>
          <w:sz w:val="20"/>
        </w:rPr>
        <w:t>Existence of a real risk of ill-treatment or danger to life</w:t>
      </w:r>
    </w:p>
    <w:p w:rsidR="009E1BDD" w:rsidRDefault="00E85634" w:rsidP="00751F40">
      <w:pPr>
        <w:pStyle w:val="ECHRPara"/>
      </w:pPr>
      <w:r>
        <w:fldChar w:fldCharType="begin"/>
      </w:r>
      <w:r>
        <w:instrText xml:space="preserve"> SEQ level0 \*arabic </w:instrText>
      </w:r>
      <w:r>
        <w:fldChar w:fldCharType="separate"/>
      </w:r>
      <w:r w:rsidR="00D21AD2">
        <w:rPr>
          <w:noProof/>
        </w:rPr>
        <w:t>119</w:t>
      </w:r>
      <w:r>
        <w:fldChar w:fldCharType="end"/>
      </w:r>
      <w:r>
        <w:t>.  </w:t>
      </w:r>
      <w:r w:rsidR="00751F40" w:rsidRPr="00751F40">
        <w:t>The Court notes that a general situation of violence will not normally in itself entail a violation of Article 3 in the event of expulsion (</w:t>
      </w:r>
      <w:r w:rsidR="007617DE">
        <w:t xml:space="preserve">see </w:t>
      </w:r>
      <w:r w:rsidRPr="00B668D2">
        <w:rPr>
          <w:i/>
        </w:rPr>
        <w:t>H.L.R. v. France</w:t>
      </w:r>
      <w:r w:rsidRPr="00B668D2">
        <w:t xml:space="preserve">, 29 April 1997, § </w:t>
      </w:r>
      <w:r w:rsidRPr="00751F40">
        <w:t>41</w:t>
      </w:r>
      <w:r w:rsidRPr="00B668D2">
        <w:t xml:space="preserve">, </w:t>
      </w:r>
      <w:r w:rsidRPr="00B668D2">
        <w:rPr>
          <w:i/>
        </w:rPr>
        <w:t>Reports of Judgments and Decisions</w:t>
      </w:r>
      <w:r w:rsidRPr="00B668D2">
        <w:t xml:space="preserve"> 1997</w:t>
      </w:r>
      <w:r w:rsidRPr="00B668D2">
        <w:noBreakHyphen/>
        <w:t>III</w:t>
      </w:r>
      <w:r w:rsidR="00751F40" w:rsidRPr="00751F40">
        <w:t>)</w:t>
      </w:r>
      <w:r w:rsidR="007617DE">
        <w:t>;</w:t>
      </w:r>
      <w:r w:rsidR="00751F40" w:rsidRPr="00751F40">
        <w:t xml:space="preserve"> </w:t>
      </w:r>
      <w:r w:rsidR="007617DE">
        <w:t>h</w:t>
      </w:r>
      <w:r w:rsidR="00751F40" w:rsidRPr="00751F40">
        <w:t xml:space="preserve">owever, </w:t>
      </w:r>
      <w:r w:rsidR="007617DE">
        <w:t>it</w:t>
      </w:r>
      <w:r w:rsidR="00751F40" w:rsidRPr="00751F40">
        <w:t xml:space="preserve"> has never ruled out the possibility that the general situation of violence in a country of destination may be of a sufficient level of intensity as to entail that any removal to it would necessarily breach Article 3 of the Convention. Nevertheless, the Court would adopt such an approach only in the most extreme cases of general violence, where there is a real risk of ill-treatment simply by virtue of an individual being exposed to such violence on return (</w:t>
      </w:r>
      <w:bookmarkStart w:id="36" w:name="File554"/>
      <w:r w:rsidR="00076013">
        <w:t xml:space="preserve">see </w:t>
      </w:r>
      <w:r w:rsidRPr="00B668D2">
        <w:rPr>
          <w:i/>
        </w:rPr>
        <w:t>N</w:t>
      </w:r>
      <w:r w:rsidR="00BA787E">
        <w:rPr>
          <w:i/>
        </w:rPr>
        <w:t>.</w:t>
      </w:r>
      <w:r w:rsidRPr="00B668D2">
        <w:rPr>
          <w:i/>
        </w:rPr>
        <w:t>A</w:t>
      </w:r>
      <w:bookmarkEnd w:id="36"/>
      <w:r w:rsidRPr="00B668D2">
        <w:rPr>
          <w:i/>
        </w:rPr>
        <w:t>. v.</w:t>
      </w:r>
      <w:r w:rsidR="002F3277">
        <w:rPr>
          <w:i/>
        </w:rPr>
        <w:t> </w:t>
      </w:r>
      <w:r w:rsidRPr="00B668D2">
        <w:rPr>
          <w:i/>
        </w:rPr>
        <w:t>the</w:t>
      </w:r>
      <w:r w:rsidR="002F3277">
        <w:rPr>
          <w:i/>
        </w:rPr>
        <w:t> </w:t>
      </w:r>
      <w:r w:rsidRPr="00B668D2">
        <w:rPr>
          <w:i/>
        </w:rPr>
        <w:t>United</w:t>
      </w:r>
      <w:r w:rsidR="002F3277">
        <w:rPr>
          <w:i/>
        </w:rPr>
        <w:t> </w:t>
      </w:r>
      <w:r w:rsidRPr="00B668D2">
        <w:rPr>
          <w:i/>
        </w:rPr>
        <w:t>Kingdom</w:t>
      </w:r>
      <w:r w:rsidR="00134A95">
        <w:t>, no. 25904/07, § </w:t>
      </w:r>
      <w:r w:rsidRPr="00751F40">
        <w:t>115</w:t>
      </w:r>
      <w:r w:rsidRPr="00B668D2">
        <w:t>, 17 July 2008</w:t>
      </w:r>
      <w:r w:rsidR="00751F40" w:rsidRPr="00751F40">
        <w:t>).</w:t>
      </w:r>
    </w:p>
    <w:p w:rsidR="009E1BDD" w:rsidRDefault="00C253F0" w:rsidP="00751F40">
      <w:pPr>
        <w:pStyle w:val="ECHRPara"/>
        <w:rPr>
          <w:snapToGrid w:val="0"/>
          <w:szCs w:val="24"/>
        </w:rPr>
      </w:pPr>
      <w:r>
        <w:fldChar w:fldCharType="begin"/>
      </w:r>
      <w:r>
        <w:instrText xml:space="preserve"> SEQ level0 \*arabic </w:instrText>
      </w:r>
      <w:r>
        <w:fldChar w:fldCharType="separate"/>
      </w:r>
      <w:r w:rsidR="00D21AD2">
        <w:rPr>
          <w:noProof/>
        </w:rPr>
        <w:t>120</w:t>
      </w:r>
      <w:r>
        <w:fldChar w:fldCharType="end"/>
      </w:r>
      <w:r>
        <w:t>.  </w:t>
      </w:r>
      <w:r w:rsidR="003247C6">
        <w:t>As a matter of comparison, when c</w:t>
      </w:r>
      <w:r w:rsidR="00343430">
        <w:t xml:space="preserve">onsidering situations in different areas of Somalia, the Court concluded that the risks of generalised violence, </w:t>
      </w:r>
      <w:r w:rsidR="0039543E">
        <w:t>dire</w:t>
      </w:r>
      <w:r w:rsidR="00343430">
        <w:t xml:space="preserve"> humanitarian </w:t>
      </w:r>
      <w:r w:rsidR="00B84717">
        <w:t>conditions</w:t>
      </w:r>
      <w:r w:rsidR="00343430">
        <w:t xml:space="preserve"> and absence of </w:t>
      </w:r>
      <w:r w:rsidR="007617DE">
        <w:t xml:space="preserve">the </w:t>
      </w:r>
      <w:r w:rsidR="00343430">
        <w:t xml:space="preserve">possibility </w:t>
      </w:r>
      <w:r w:rsidR="007617DE">
        <w:t>of</w:t>
      </w:r>
      <w:r w:rsidR="00343430">
        <w:t xml:space="preserve"> relocat</w:t>
      </w:r>
      <w:r w:rsidR="007617DE">
        <w:t>ing</w:t>
      </w:r>
      <w:r w:rsidR="00343430">
        <w:t xml:space="preserve"> internally without the danger of </w:t>
      </w:r>
      <w:r w:rsidR="00343430" w:rsidRPr="00E83AD8">
        <w:t xml:space="preserve">being exposed to a risk of ill-treatment </w:t>
      </w:r>
      <w:r w:rsidR="00B84717" w:rsidRPr="00E83AD8">
        <w:t xml:space="preserve">could lead to a finding of breach of Article 3, unless it could be sufficiently demonstrated that special circumstances such as </w:t>
      </w:r>
      <w:r w:rsidR="0039543E" w:rsidRPr="00E83AD8">
        <w:t xml:space="preserve">powerful clan or </w:t>
      </w:r>
      <w:r w:rsidR="00B84717" w:rsidRPr="00E83AD8">
        <w:t xml:space="preserve">family connections could ensure </w:t>
      </w:r>
      <w:r w:rsidR="0039543E" w:rsidRPr="00E83AD8">
        <w:t>the individual</w:t>
      </w:r>
      <w:r w:rsidR="00BA3D89">
        <w:t>’</w:t>
      </w:r>
      <w:r w:rsidR="0039543E" w:rsidRPr="00E83AD8">
        <w:t xml:space="preserve">s </w:t>
      </w:r>
      <w:r w:rsidR="00B84717" w:rsidRPr="00E83AD8">
        <w:t xml:space="preserve">protection </w:t>
      </w:r>
      <w:r w:rsidR="00343430">
        <w:t>(</w:t>
      </w:r>
      <w:r w:rsidR="003247C6">
        <w:t xml:space="preserve">see </w:t>
      </w:r>
      <w:r w:rsidR="00343430" w:rsidRPr="00B668D2">
        <w:rPr>
          <w:i/>
        </w:rPr>
        <w:t xml:space="preserve">Sufi and </w:t>
      </w:r>
      <w:proofErr w:type="spellStart"/>
      <w:r w:rsidR="00343430" w:rsidRPr="00B668D2">
        <w:rPr>
          <w:i/>
        </w:rPr>
        <w:t>Elmi</w:t>
      </w:r>
      <w:proofErr w:type="spellEnd"/>
      <w:r w:rsidR="00343430" w:rsidRPr="00B668D2">
        <w:rPr>
          <w:i/>
        </w:rPr>
        <w:t xml:space="preserve"> v.</w:t>
      </w:r>
      <w:r w:rsidR="002F3277">
        <w:rPr>
          <w:i/>
        </w:rPr>
        <w:t> </w:t>
      </w:r>
      <w:r w:rsidR="00343430" w:rsidRPr="00B668D2">
        <w:rPr>
          <w:i/>
        </w:rPr>
        <w:t>the United Kingdom</w:t>
      </w:r>
      <w:r w:rsidR="00343430" w:rsidRPr="00B668D2">
        <w:t>, nos. 8319/07 and 11449/07</w:t>
      </w:r>
      <w:r w:rsidR="00343430" w:rsidRPr="00B668D2">
        <w:rPr>
          <w:snapToGrid w:val="0"/>
          <w:szCs w:val="24"/>
        </w:rPr>
        <w:t xml:space="preserve">, §§ </w:t>
      </w:r>
      <w:r w:rsidR="00BA787E">
        <w:rPr>
          <w:snapToGrid w:val="0"/>
          <w:szCs w:val="24"/>
        </w:rPr>
        <w:t>293-</w:t>
      </w:r>
      <w:r w:rsidR="005F2C85">
        <w:rPr>
          <w:snapToGrid w:val="0"/>
          <w:szCs w:val="24"/>
        </w:rPr>
        <w:t>96</w:t>
      </w:r>
      <w:r w:rsidR="00343430" w:rsidRPr="00B668D2">
        <w:rPr>
          <w:snapToGrid w:val="0"/>
          <w:szCs w:val="24"/>
        </w:rPr>
        <w:t>, 28 June 2011</w:t>
      </w:r>
      <w:r w:rsidR="00343430">
        <w:rPr>
          <w:snapToGrid w:val="0"/>
          <w:szCs w:val="24"/>
        </w:rPr>
        <w:t>).</w:t>
      </w:r>
    </w:p>
    <w:p w:rsidR="009E1BDD" w:rsidRDefault="005F2C85" w:rsidP="00E83AD8">
      <w:pPr>
        <w:pStyle w:val="ECHRPara"/>
      </w:pPr>
      <w:r>
        <w:fldChar w:fldCharType="begin"/>
      </w:r>
      <w:r>
        <w:instrText xml:space="preserve"> SEQ level0 \*arabic </w:instrText>
      </w:r>
      <w:r>
        <w:fldChar w:fldCharType="separate"/>
      </w:r>
      <w:r w:rsidR="00D21AD2">
        <w:rPr>
          <w:noProof/>
        </w:rPr>
        <w:t>121</w:t>
      </w:r>
      <w:r>
        <w:fldChar w:fldCharType="end"/>
      </w:r>
      <w:r>
        <w:t>.  In</w:t>
      </w:r>
      <w:r w:rsidRPr="00E83AD8">
        <w:t xml:space="preserve"> assessing the intensity of the conflict in Mogadishu, the Court in </w:t>
      </w:r>
      <w:r w:rsidRPr="00E83AD8">
        <w:rPr>
          <w:i/>
        </w:rPr>
        <w:t xml:space="preserve">Sufi and </w:t>
      </w:r>
      <w:proofErr w:type="spellStart"/>
      <w:r w:rsidRPr="00E83AD8">
        <w:rPr>
          <w:i/>
        </w:rPr>
        <w:t>Elmi</w:t>
      </w:r>
      <w:proofErr w:type="spellEnd"/>
      <w:r w:rsidRPr="00E83AD8">
        <w:rPr>
          <w:i/>
        </w:rPr>
        <w:t xml:space="preserve"> </w:t>
      </w:r>
      <w:r w:rsidRPr="00E83AD8">
        <w:t xml:space="preserve">(cited above) applied the following criteria which had been identified by the United Kingdom Asylum and Immigration Tribunal in </w:t>
      </w:r>
      <w:r w:rsidRPr="00E83AD8">
        <w:rPr>
          <w:i/>
        </w:rPr>
        <w:t>AM</w:t>
      </w:r>
      <w:r w:rsidR="002F3277" w:rsidRPr="00E83AD8">
        <w:rPr>
          <w:i/>
        </w:rPr>
        <w:t> </w:t>
      </w:r>
      <w:r w:rsidRPr="00E83AD8">
        <w:rPr>
          <w:i/>
        </w:rPr>
        <w:t>&amp; AM</w:t>
      </w:r>
      <w:r w:rsidRPr="00E83AD8">
        <w:t xml:space="preserve"> ((armed conflict: risk </w:t>
      </w:r>
      <w:r w:rsidRPr="0062068A">
        <w:t>categories</w:t>
      </w:r>
      <w:r>
        <w:t>) Somalia CG [2008] UKAIT 00091</w:t>
      </w:r>
      <w:r w:rsidR="007617DE">
        <w:t>, § 241</w:t>
      </w:r>
      <w:r>
        <w:t>):</w:t>
      </w:r>
    </w:p>
    <w:p w:rsidR="009E1BDD" w:rsidRDefault="005F2C85" w:rsidP="00D21AD2">
      <w:pPr>
        <w:pStyle w:val="ECHRParaQuote"/>
      </w:pPr>
      <w:r>
        <w:t>“[F]</w:t>
      </w:r>
      <w:proofErr w:type="spellStart"/>
      <w:r>
        <w:t>irst</w:t>
      </w:r>
      <w:proofErr w:type="spellEnd"/>
      <w:r>
        <w:t>, whether the parties to the conflict were either employing methods and tactics of warfare which increased the risk of civilian casualties or directly targeting civilians; secondly, whether the use of such methods and/or tactics was widespread among the parties to the conflict; thirdly, whether the fighting was localised or widespread; and finally, the number of civilians killed, injured and displaced as a result of the fighting</w:t>
      </w:r>
      <w:r w:rsidR="007617DE">
        <w:t>.</w:t>
      </w:r>
      <w:r>
        <w:t>”</w:t>
      </w:r>
    </w:p>
    <w:p w:rsidR="009E1BDD" w:rsidRDefault="00AE268D" w:rsidP="005F2C85">
      <w:pPr>
        <w:pStyle w:val="ECHRPara"/>
      </w:pPr>
      <w:r>
        <w:lastRenderedPageBreak/>
        <w:fldChar w:fldCharType="begin"/>
      </w:r>
      <w:r>
        <w:instrText xml:space="preserve"> SEQ level0 \*arabic </w:instrText>
      </w:r>
      <w:r>
        <w:fldChar w:fldCharType="separate"/>
      </w:r>
      <w:r w:rsidR="00D21AD2">
        <w:rPr>
          <w:noProof/>
        </w:rPr>
        <w:t>122</w:t>
      </w:r>
      <w:r>
        <w:fldChar w:fldCharType="end"/>
      </w:r>
      <w:r w:rsidRPr="00E83AD8">
        <w:t>.  </w:t>
      </w:r>
      <w:r w:rsidR="005F2C85" w:rsidRPr="00E83AD8">
        <w:t>The Court noted that “while these criteria [were] not to be seen as an exhaustive list to be applied in all future cases”, they formed an “appropriate yardstick by which to assess the level of violence in Mogadishu in the context of that particular case</w:t>
      </w:r>
      <w:r w:rsidR="007617DE" w:rsidRPr="00E83AD8">
        <w:t>”</w:t>
      </w:r>
      <w:r w:rsidR="005F2C85" w:rsidRPr="00E83AD8">
        <w:t xml:space="preserve"> (</w:t>
      </w:r>
      <w:r w:rsidR="005F2C85" w:rsidRPr="00E83AD8">
        <w:rPr>
          <w:i/>
        </w:rPr>
        <w:t>ibid</w:t>
      </w:r>
      <w:r w:rsidR="005F2C85" w:rsidRPr="00E83AD8">
        <w:t>).</w:t>
      </w:r>
      <w:r w:rsidR="005F2C85">
        <w:t xml:space="preserve"> </w:t>
      </w:r>
      <w:r w:rsidR="005F2C85" w:rsidRPr="00E83AD8">
        <w:t xml:space="preserve">In reaching its conclusion about the level of violence in Mogadishu, the Court in </w:t>
      </w:r>
      <w:r w:rsidR="005F2C85" w:rsidRPr="00E83AD8">
        <w:rPr>
          <w:i/>
        </w:rPr>
        <w:t xml:space="preserve">Sufi and </w:t>
      </w:r>
      <w:proofErr w:type="spellStart"/>
      <w:r w:rsidR="005F2C85" w:rsidRPr="00E83AD8">
        <w:rPr>
          <w:i/>
        </w:rPr>
        <w:t>Elmi</w:t>
      </w:r>
      <w:proofErr w:type="spellEnd"/>
      <w:r w:rsidR="005F2C85" w:rsidRPr="00E83AD8">
        <w:rPr>
          <w:i/>
        </w:rPr>
        <w:t xml:space="preserve"> </w:t>
      </w:r>
      <w:r w:rsidR="00BA787E" w:rsidRPr="00DF1F85">
        <w:t>(cited above)</w:t>
      </w:r>
      <w:r w:rsidR="00BA787E" w:rsidRPr="00E83AD8">
        <w:rPr>
          <w:i/>
        </w:rPr>
        <w:t xml:space="preserve"> </w:t>
      </w:r>
      <w:r w:rsidR="005F2C85" w:rsidRPr="00E83AD8">
        <w:t>had regard to “the indiscriminate bombardments and military offensives carried out by all parties to the conflict, the unacceptable number of civilian casualties, the substantial number of persons displaced within and from the city, and the unpredictable and widespread nature of the conflict” (</w:t>
      </w:r>
      <w:r w:rsidR="005F2C85" w:rsidRPr="00E83AD8">
        <w:rPr>
          <w:i/>
        </w:rPr>
        <w:t>ibid</w:t>
      </w:r>
      <w:r w:rsidR="007617DE" w:rsidRPr="00E83AD8">
        <w:rPr>
          <w:i/>
        </w:rPr>
        <w:t>.,</w:t>
      </w:r>
      <w:r w:rsidR="00134A95">
        <w:t xml:space="preserve"> § </w:t>
      </w:r>
      <w:r w:rsidR="005F2C85" w:rsidRPr="00E83AD8">
        <w:t>248).</w:t>
      </w:r>
    </w:p>
    <w:p w:rsidR="009E1BDD" w:rsidRDefault="00955CA4" w:rsidP="00E85634">
      <w:pPr>
        <w:pStyle w:val="ECHRPara"/>
      </w:pPr>
      <w:r>
        <w:fldChar w:fldCharType="begin"/>
      </w:r>
      <w:r>
        <w:instrText xml:space="preserve"> SEQ level0 \*arabic </w:instrText>
      </w:r>
      <w:r>
        <w:fldChar w:fldCharType="separate"/>
      </w:r>
      <w:r w:rsidR="00D21AD2">
        <w:rPr>
          <w:noProof/>
        </w:rPr>
        <w:t>123</w:t>
      </w:r>
      <w:r>
        <w:fldChar w:fldCharType="end"/>
      </w:r>
      <w:r>
        <w:t>.  T</w:t>
      </w:r>
      <w:r w:rsidR="0039543E">
        <w:t>urning to the present case, the Court notes</w:t>
      </w:r>
      <w:r>
        <w:t xml:space="preserve"> that it has not yet </w:t>
      </w:r>
      <w:r w:rsidR="003C78B9">
        <w:t>adopted</w:t>
      </w:r>
      <w:r>
        <w:t xml:space="preserve"> a judgment </w:t>
      </w:r>
      <w:r w:rsidR="007617DE">
        <w:t>to</w:t>
      </w:r>
      <w:r>
        <w:t xml:space="preserve"> evaluate the allegations of a risk of danger to life or ill-treatment in the context of the </w:t>
      </w:r>
      <w:proofErr w:type="spellStart"/>
      <w:r>
        <w:t>ongoing</w:t>
      </w:r>
      <w:proofErr w:type="spellEnd"/>
      <w:r>
        <w:t xml:space="preserve"> conflict in Syria. </w:t>
      </w:r>
      <w:r w:rsidR="00E85634">
        <w:t xml:space="preserve">This is </w:t>
      </w:r>
      <w:r w:rsidR="0039543E">
        <w:t>undoubtedly at least in part</w:t>
      </w:r>
      <w:r w:rsidR="00343430">
        <w:t xml:space="preserve"> </w:t>
      </w:r>
      <w:r w:rsidR="00E85634">
        <w:t xml:space="preserve">due to the fact that, as it </w:t>
      </w:r>
      <w:r w:rsidR="00813853">
        <w:t xml:space="preserve">appears </w:t>
      </w:r>
      <w:r w:rsidR="00E85634">
        <w:t xml:space="preserve">from the relevant UNHCR documents, most European countries do not </w:t>
      </w:r>
      <w:r w:rsidR="00620D41">
        <w:t xml:space="preserve">at present </w:t>
      </w:r>
      <w:r w:rsidR="005F2C85">
        <w:t>carry out</w:t>
      </w:r>
      <w:r w:rsidR="00E85634">
        <w:t xml:space="preserve"> </w:t>
      </w:r>
      <w:r w:rsidR="0039543E">
        <w:t xml:space="preserve">involuntary </w:t>
      </w:r>
      <w:r w:rsidR="00E85634">
        <w:t xml:space="preserve">returns </w:t>
      </w:r>
      <w:r w:rsidR="0039543E">
        <w:t>to Syria.</w:t>
      </w:r>
      <w:r w:rsidR="00E85634">
        <w:t xml:space="preserve"> In </w:t>
      </w:r>
      <w:r>
        <w:t xml:space="preserve">October 2014 </w:t>
      </w:r>
      <w:r w:rsidR="00E85634">
        <w:t>the UNHCR “</w:t>
      </w:r>
      <w:r w:rsidR="00E85634" w:rsidRPr="00620830">
        <w:t>welcomed the</w:t>
      </w:r>
      <w:r w:rsidR="00E85634">
        <w:t xml:space="preserve"> </w:t>
      </w:r>
      <w:r w:rsidR="00E85634" w:rsidRPr="00620830">
        <w:t>positive protection practices of many European States with respect to Syrian nationals,</w:t>
      </w:r>
      <w:r w:rsidR="00E85634">
        <w:t xml:space="preserve"> </w:t>
      </w:r>
      <w:r w:rsidR="00E85634" w:rsidRPr="00620830">
        <w:t xml:space="preserve">including a </w:t>
      </w:r>
      <w:r w:rsidR="00E85634" w:rsidRPr="003C78B9">
        <w:rPr>
          <w:i/>
        </w:rPr>
        <w:t>de facto</w:t>
      </w:r>
      <w:r w:rsidR="00E85634" w:rsidRPr="00620830">
        <w:t xml:space="preserve"> moratoria on returns to Syria, the decision to process Syrian</w:t>
      </w:r>
      <w:r w:rsidR="00E85634">
        <w:t xml:space="preserve"> </w:t>
      </w:r>
      <w:r w:rsidR="00E85634" w:rsidRPr="00620830">
        <w:t>claims in most countries, and high protection rates</w:t>
      </w:r>
      <w:r>
        <w:t>”</w:t>
      </w:r>
      <w:r w:rsidR="00E85634">
        <w:t xml:space="preserve"> </w:t>
      </w:r>
      <w:r w:rsidR="00823470">
        <w:t xml:space="preserve">The latest </w:t>
      </w:r>
      <w:r w:rsidR="003B2E29">
        <w:t>UN reports</w:t>
      </w:r>
      <w:r w:rsidR="00823470">
        <w:t xml:space="preserve"> </w:t>
      </w:r>
      <w:r w:rsidR="003B2E29">
        <w:t>describe the situation as a “humanitarian crisis” and speak of “immeasurable suffering” of the civilians, massive violations of human rights and humanitarian law by all parties and the resulting displacement of almost half of the country</w:t>
      </w:r>
      <w:r w:rsidR="00BA3D89">
        <w:t>’</w:t>
      </w:r>
      <w:r w:rsidR="003B2E29">
        <w:t xml:space="preserve">s population (see </w:t>
      </w:r>
      <w:r w:rsidR="003B2E29" w:rsidRPr="00CE06B7">
        <w:t>paragraph</w:t>
      </w:r>
      <w:r w:rsidR="003B2E29" w:rsidRPr="0003278C">
        <w:t>s</w:t>
      </w:r>
      <w:r w:rsidR="003B2E29" w:rsidRPr="00CE06B7">
        <w:t xml:space="preserve"> </w:t>
      </w:r>
      <w:r w:rsidR="00E83AD8">
        <w:rPr>
          <w:noProof/>
        </w:rPr>
        <w:t>76</w:t>
      </w:r>
      <w:r w:rsidR="00CE06B7" w:rsidRPr="00CE06B7">
        <w:t xml:space="preserve">, </w:t>
      </w:r>
      <w:r w:rsidR="00E83AD8">
        <w:rPr>
          <w:noProof/>
        </w:rPr>
        <w:t>77</w:t>
      </w:r>
      <w:r w:rsidR="000871E4">
        <w:t>,</w:t>
      </w:r>
      <w:r w:rsidR="00CE06B7" w:rsidRPr="00CE06B7">
        <w:t xml:space="preserve"> </w:t>
      </w:r>
      <w:r w:rsidR="00E83AD8">
        <w:rPr>
          <w:noProof/>
        </w:rPr>
        <w:t>80</w:t>
      </w:r>
      <w:r w:rsidR="000871E4">
        <w:t xml:space="preserve"> </w:t>
      </w:r>
      <w:r w:rsidR="00CE06B7" w:rsidRPr="00CE06B7">
        <w:t xml:space="preserve">and </w:t>
      </w:r>
      <w:r w:rsidR="00E83AD8">
        <w:rPr>
          <w:noProof/>
        </w:rPr>
        <w:t>81</w:t>
      </w:r>
      <w:r w:rsidR="00DF1F85">
        <w:rPr>
          <w:noProof/>
        </w:rPr>
        <w:t xml:space="preserve"> above</w:t>
      </w:r>
      <w:r w:rsidR="003B2E29" w:rsidRPr="00CE06B7">
        <w:t>).</w:t>
      </w:r>
    </w:p>
    <w:p w:rsidR="009E1BDD" w:rsidRDefault="00B84717" w:rsidP="006261D9">
      <w:pPr>
        <w:pStyle w:val="ECHRPara"/>
      </w:pPr>
      <w:r>
        <w:fldChar w:fldCharType="begin"/>
      </w:r>
      <w:r>
        <w:instrText xml:space="preserve"> SEQ level0 \*arabic </w:instrText>
      </w:r>
      <w:r>
        <w:fldChar w:fldCharType="separate"/>
      </w:r>
      <w:r w:rsidR="00D21AD2">
        <w:rPr>
          <w:noProof/>
        </w:rPr>
        <w:t>124</w:t>
      </w:r>
      <w:r>
        <w:fldChar w:fldCharType="end"/>
      </w:r>
      <w:r>
        <w:t>.  </w:t>
      </w:r>
      <w:r w:rsidR="0039543E">
        <w:t>T</w:t>
      </w:r>
      <w:r>
        <w:t>he Court notes that the applicants originate from Aleppo and Damascus, where particularly heavy fighting has been raging.</w:t>
      </w:r>
      <w:r w:rsidR="0039543E">
        <w:t xml:space="preserve"> </w:t>
      </w:r>
      <w:r w:rsidR="00807B20">
        <w:t>M.A.</w:t>
      </w:r>
      <w:r w:rsidR="0039543E">
        <w:t xml:space="preserve"> referred to the killing of his relatives by armed militia who had taken over the </w:t>
      </w:r>
      <w:r w:rsidR="003C78B9">
        <w:t>district where he lived</w:t>
      </w:r>
      <w:r w:rsidR="00260C36">
        <w:t>,</w:t>
      </w:r>
      <w:r w:rsidR="0039543E">
        <w:t xml:space="preserve"> and feared that he would be killed too. L.M. is a stateless Palestinian. According to UNHCR, “</w:t>
      </w:r>
      <w:r w:rsidR="0039543E">
        <w:rPr>
          <w:rFonts w:ascii="MinionPro-Regular" w:eastAsiaTheme="minorHAnsi" w:hAnsi="MinionPro-Regular" w:cs="MinionPro-Regular"/>
          <w:szCs w:val="20"/>
        </w:rPr>
        <w:t>nearly all the areas hosting large numbers of Palestinian refugees are directly affected by the conflict</w:t>
      </w:r>
      <w:r w:rsidR="0039543E">
        <w:t>”. This group was regarded by the UNHCR as being in need of international protection.</w:t>
      </w:r>
      <w:r w:rsidR="006261D9">
        <w:t xml:space="preserve"> </w:t>
      </w:r>
      <w:r>
        <w:t>The</w:t>
      </w:r>
      <w:r w:rsidR="0039543E">
        <w:t xml:space="preserve"> Court further notes that the applicants are</w:t>
      </w:r>
      <w:r>
        <w:t xml:space="preserve"> young men who, in the view of </w:t>
      </w:r>
      <w:r w:rsidR="00823470">
        <w:t>the Human Rights Watch</w:t>
      </w:r>
      <w:r w:rsidR="00295977">
        <w:t>,</w:t>
      </w:r>
      <w:r w:rsidR="00823470">
        <w:t xml:space="preserve"> </w:t>
      </w:r>
      <w:r w:rsidR="0039543E">
        <w:t>are</w:t>
      </w:r>
      <w:r w:rsidR="00823470">
        <w:t xml:space="preserve"> in particular danger of detention and ill-treatment (see paragraph </w:t>
      </w:r>
      <w:r w:rsidR="00E83AD8">
        <w:rPr>
          <w:noProof/>
        </w:rPr>
        <w:t>79</w:t>
      </w:r>
      <w:r w:rsidR="00823470">
        <w:t xml:space="preserve"> above).</w:t>
      </w:r>
    </w:p>
    <w:p w:rsidR="00620D41" w:rsidRDefault="00C94B3B" w:rsidP="00C621C2">
      <w:pPr>
        <w:pStyle w:val="ECHRPara"/>
      </w:pPr>
      <w:r>
        <w:fldChar w:fldCharType="begin"/>
      </w:r>
      <w:r>
        <w:instrText xml:space="preserve"> SEQ level0 \*arabic </w:instrText>
      </w:r>
      <w:r>
        <w:fldChar w:fldCharType="separate"/>
      </w:r>
      <w:r w:rsidR="00D21AD2">
        <w:rPr>
          <w:noProof/>
        </w:rPr>
        <w:t>125</w:t>
      </w:r>
      <w:r>
        <w:fldChar w:fldCharType="end"/>
      </w:r>
      <w:r w:rsidR="00014566" w:rsidRPr="00062973">
        <w:t>.  </w:t>
      </w:r>
      <w:r w:rsidR="002A1D84" w:rsidRPr="00AE268D">
        <w:t xml:space="preserve">The above elements are sufficient for the Court to conclude that the applicants have put forward a well-founded allegation that their return to Syria would be in breach of Articles 2 and/or 3 of the Convention. </w:t>
      </w:r>
      <w:r w:rsidR="002A1D84" w:rsidRPr="002A1D84">
        <w:t xml:space="preserve">The Government have not presented any arguments or relevant information that could dispel these </w:t>
      </w:r>
      <w:r w:rsidR="002A1D84" w:rsidRPr="00AE268D">
        <w:t>allegations</w:t>
      </w:r>
      <w:r w:rsidR="002A1D84" w:rsidRPr="002A1D84">
        <w:t>, nor referred to any special circumstances which could ensure sufficient protection for the applicants if returned.</w:t>
      </w:r>
    </w:p>
    <w:p w:rsidR="009E1BDD" w:rsidRDefault="00620D41" w:rsidP="00C621C2">
      <w:pPr>
        <w:pStyle w:val="ECHRPara"/>
      </w:pPr>
      <w:r>
        <w:fldChar w:fldCharType="begin"/>
      </w:r>
      <w:r>
        <w:instrText xml:space="preserve"> SEQ level0 \*arabic </w:instrText>
      </w:r>
      <w:r>
        <w:fldChar w:fldCharType="separate"/>
      </w:r>
      <w:r w:rsidR="00D21AD2">
        <w:rPr>
          <w:noProof/>
        </w:rPr>
        <w:t>126</w:t>
      </w:r>
      <w:r>
        <w:fldChar w:fldCharType="end"/>
      </w:r>
      <w:r>
        <w:t xml:space="preserve">.  The </w:t>
      </w:r>
      <w:r w:rsidR="00014566" w:rsidRPr="00062973">
        <w:t xml:space="preserve">foregoing considerations are sufficient to enable the Court to conclude that </w:t>
      </w:r>
      <w:r w:rsidR="003B2E29">
        <w:t xml:space="preserve">if the applicants were expelled to Syria, it would be </w:t>
      </w:r>
      <w:r w:rsidR="003C78B9">
        <w:t xml:space="preserve">in </w:t>
      </w:r>
      <w:r w:rsidR="003B2E29">
        <w:t>breach of Articles 2 and/or 3 of the Convention.</w:t>
      </w:r>
    </w:p>
    <w:p w:rsidR="005543B6" w:rsidRDefault="003B2E29" w:rsidP="008E2CCB">
      <w:pPr>
        <w:pStyle w:val="ECHRPara"/>
      </w:pPr>
      <w:r>
        <w:lastRenderedPageBreak/>
        <w:fldChar w:fldCharType="begin"/>
      </w:r>
      <w:r>
        <w:instrText xml:space="preserve"> SEQ level0 \*arabic </w:instrText>
      </w:r>
      <w:r>
        <w:fldChar w:fldCharType="separate"/>
      </w:r>
      <w:r w:rsidR="00D21AD2">
        <w:rPr>
          <w:noProof/>
        </w:rPr>
        <w:t>127</w:t>
      </w:r>
      <w:r>
        <w:fldChar w:fldCharType="end"/>
      </w:r>
      <w:r w:rsidRPr="00E83AD8">
        <w:t xml:space="preserve">.  In so far as the applicants claimed a breach of </w:t>
      </w:r>
      <w:r w:rsidR="00596242" w:rsidRPr="00E83AD8">
        <w:t>Article 13</w:t>
      </w:r>
      <w:r w:rsidRPr="00E83AD8">
        <w:t xml:space="preserve">, the Court </w:t>
      </w:r>
      <w:r w:rsidR="005543B6" w:rsidRPr="00E83AD8">
        <w:t>notes that it has already examined that allegation in the context of Article</w:t>
      </w:r>
      <w:r w:rsidR="003C78B9" w:rsidRPr="00E83AD8">
        <w:t>s 2 and</w:t>
      </w:r>
      <w:r w:rsidR="005543B6" w:rsidRPr="00E83AD8">
        <w:t xml:space="preserve"> 3 of the Convention. Having regard to the</w:t>
      </w:r>
      <w:r w:rsidR="003C78B9" w:rsidRPr="00E83AD8">
        <w:t>se finding</w:t>
      </w:r>
      <w:r w:rsidR="00D06436" w:rsidRPr="00E83AD8">
        <w:t>s</w:t>
      </w:r>
      <w:r w:rsidR="005543B6" w:rsidRPr="00E83AD8">
        <w:t xml:space="preserve">, </w:t>
      </w:r>
      <w:r w:rsidR="00D06436" w:rsidRPr="00E83AD8">
        <w:t>it</w:t>
      </w:r>
      <w:r w:rsidR="005543B6" w:rsidRPr="00E83AD8">
        <w:t xml:space="preserve"> considers that it is not necessary to examine this complaint separately on the merits (see, among other authorities, </w:t>
      </w:r>
      <w:proofErr w:type="spellStart"/>
      <w:r w:rsidR="005543B6" w:rsidRPr="00E83AD8">
        <w:rPr>
          <w:i/>
        </w:rPr>
        <w:t>Gaforov</w:t>
      </w:r>
      <w:proofErr w:type="spellEnd"/>
      <w:r w:rsidR="005543B6" w:rsidRPr="00E83AD8">
        <w:rPr>
          <w:i/>
        </w:rPr>
        <w:t xml:space="preserve"> v. Russia</w:t>
      </w:r>
      <w:r w:rsidR="005543B6" w:rsidRPr="00E83AD8">
        <w:t>, no. 25404/09</w:t>
      </w:r>
      <w:r w:rsidR="003C78B9" w:rsidRPr="00E83AD8">
        <w:t>, § </w:t>
      </w:r>
      <w:r w:rsidR="00BA787E" w:rsidRPr="00E83AD8">
        <w:t>144, 21 </w:t>
      </w:r>
      <w:r w:rsidR="005543B6" w:rsidRPr="00E83AD8">
        <w:t xml:space="preserve">October 2010; </w:t>
      </w:r>
      <w:proofErr w:type="spellStart"/>
      <w:r w:rsidR="005543B6" w:rsidRPr="00E83AD8">
        <w:rPr>
          <w:i/>
        </w:rPr>
        <w:t>Khaydarov</w:t>
      </w:r>
      <w:proofErr w:type="spellEnd"/>
      <w:r w:rsidR="005543B6" w:rsidRPr="00E83AD8">
        <w:rPr>
          <w:i/>
        </w:rPr>
        <w:t xml:space="preserve"> v. Russia</w:t>
      </w:r>
      <w:r w:rsidR="005543B6" w:rsidRPr="00E83AD8">
        <w:t>, no. 21055/09</w:t>
      </w:r>
      <w:r w:rsidR="00E4277C" w:rsidRPr="00E83AD8">
        <w:t>, § </w:t>
      </w:r>
      <w:r w:rsidR="005543B6" w:rsidRPr="00E83AD8">
        <w:t xml:space="preserve">156, 20 May 2010; and </w:t>
      </w:r>
      <w:proofErr w:type="spellStart"/>
      <w:r w:rsidR="005543B6" w:rsidRPr="00E83AD8">
        <w:rPr>
          <w:i/>
        </w:rPr>
        <w:t>Khodzhayev</w:t>
      </w:r>
      <w:proofErr w:type="spellEnd"/>
      <w:r w:rsidR="005543B6" w:rsidRPr="00E83AD8">
        <w:rPr>
          <w:i/>
        </w:rPr>
        <w:t xml:space="preserve"> v. Russia</w:t>
      </w:r>
      <w:r w:rsidR="00F62FF9" w:rsidRPr="00E83AD8">
        <w:t>, no. </w:t>
      </w:r>
      <w:r w:rsidR="005543B6" w:rsidRPr="00E83AD8">
        <w:t>52466/08, § 151, 12 May 2010).</w:t>
      </w:r>
    </w:p>
    <w:p w:rsidR="00F62FF9" w:rsidRPr="00F62FF9" w:rsidRDefault="00BA07C3" w:rsidP="00F62FF9">
      <w:pPr>
        <w:pStyle w:val="ECHRHeading1"/>
      </w:pPr>
      <w:r>
        <w:t>III</w:t>
      </w:r>
      <w:r w:rsidR="002F3277">
        <w:t>.</w:t>
      </w:r>
      <w:proofErr w:type="gramStart"/>
      <w:r w:rsidR="002F3277">
        <w:t>  </w:t>
      </w:r>
      <w:r w:rsidR="00915D90">
        <w:t>ALLEGED</w:t>
      </w:r>
      <w:proofErr w:type="gramEnd"/>
      <w:r w:rsidR="00915D90">
        <w:t xml:space="preserve"> </w:t>
      </w:r>
      <w:r w:rsidR="00F62FF9" w:rsidRPr="00F62FF9">
        <w:t>VIOLATION OF ARTICLE 3 OF THE CONVENTION</w:t>
      </w:r>
      <w:r w:rsidR="00F62FF9">
        <w:t xml:space="preserve"> BY THE CONDITIONS OF DETENTION</w:t>
      </w:r>
    </w:p>
    <w:p w:rsidR="00F62FF9" w:rsidRPr="00F62FF9" w:rsidRDefault="00F62FF9" w:rsidP="00F62FF9">
      <w:pPr>
        <w:pStyle w:val="ECHRPara"/>
      </w:pPr>
      <w:r>
        <w:fldChar w:fldCharType="begin"/>
      </w:r>
      <w:r>
        <w:instrText xml:space="preserve"> SEQ level0 \*arabic </w:instrText>
      </w:r>
      <w:r>
        <w:fldChar w:fldCharType="separate"/>
      </w:r>
      <w:r w:rsidR="00D21AD2">
        <w:rPr>
          <w:noProof/>
        </w:rPr>
        <w:t>128</w:t>
      </w:r>
      <w:r>
        <w:fldChar w:fldCharType="end"/>
      </w:r>
      <w:r>
        <w:t>.  </w:t>
      </w:r>
      <w:r w:rsidRPr="00F62FF9">
        <w:t>The applicant</w:t>
      </w:r>
      <w:r>
        <w:t>s</w:t>
      </w:r>
      <w:r w:rsidRPr="00F62FF9">
        <w:t xml:space="preserve"> complained that the conditions of </w:t>
      </w:r>
      <w:r>
        <w:t xml:space="preserve">their </w:t>
      </w:r>
      <w:r w:rsidRPr="00F62FF9">
        <w:t xml:space="preserve">detention in the detention centre for </w:t>
      </w:r>
      <w:r w:rsidR="00EB2F4B">
        <w:t>foreign nationals</w:t>
      </w:r>
      <w:r w:rsidRPr="00F62FF9">
        <w:t xml:space="preserve"> had been incompatible with Article</w:t>
      </w:r>
      <w:r w:rsidR="002F3277">
        <w:t> </w:t>
      </w:r>
      <w:r w:rsidRPr="00F62FF9">
        <w:t>3 of the Convention, which reads as follows:</w:t>
      </w:r>
    </w:p>
    <w:p w:rsidR="00F62FF9" w:rsidRPr="00F62FF9" w:rsidRDefault="00F62FF9" w:rsidP="00F62FF9">
      <w:pPr>
        <w:pStyle w:val="JuQuotSub"/>
      </w:pPr>
      <w:r w:rsidRPr="00F62FF9">
        <w:t>“No one shall be subjected to torture or to inhuman or degrading treatment or punishment.”</w:t>
      </w:r>
    </w:p>
    <w:p w:rsidR="003C17FE" w:rsidRDefault="003C1523" w:rsidP="003C1523">
      <w:pPr>
        <w:pStyle w:val="ECHRHeading2"/>
      </w:pPr>
      <w:r>
        <w:t>A</w:t>
      </w:r>
      <w:r w:rsidR="003C17FE">
        <w:t>.  </w:t>
      </w:r>
      <w:r w:rsidR="00915D90" w:rsidRPr="003C17FE">
        <w:t>The parties</w:t>
      </w:r>
      <w:r w:rsidR="00BA3D89">
        <w:t>’</w:t>
      </w:r>
      <w:r w:rsidR="00915D90" w:rsidRPr="003C17FE">
        <w:t xml:space="preserve"> submissions</w:t>
      </w:r>
    </w:p>
    <w:p w:rsidR="009E1BDD" w:rsidRDefault="00F62FF9" w:rsidP="00E935C7">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129</w:t>
      </w:r>
      <w:r>
        <w:rPr>
          <w:rFonts w:asciiTheme="majorHAnsi" w:eastAsiaTheme="majorEastAsia" w:hAnsiTheme="majorHAnsi" w:cstheme="majorBidi"/>
          <w:bCs/>
          <w:szCs w:val="28"/>
        </w:rPr>
        <w:fldChar w:fldCharType="end"/>
      </w:r>
      <w:r>
        <w:rPr>
          <w:rFonts w:asciiTheme="majorHAnsi" w:eastAsiaTheme="majorEastAsia" w:hAnsiTheme="majorHAnsi" w:cstheme="majorBidi"/>
          <w:bCs/>
          <w:szCs w:val="28"/>
        </w:rPr>
        <w:t>.  </w:t>
      </w:r>
      <w:r w:rsidR="003C17FE">
        <w:rPr>
          <w:rFonts w:asciiTheme="majorHAnsi" w:eastAsiaTheme="majorEastAsia" w:hAnsiTheme="majorHAnsi" w:cstheme="majorBidi"/>
          <w:bCs/>
          <w:szCs w:val="28"/>
        </w:rPr>
        <w:t xml:space="preserve">The applicants listed the following elements as </w:t>
      </w:r>
      <w:r w:rsidR="00AA7D1D">
        <w:rPr>
          <w:rFonts w:asciiTheme="majorHAnsi" w:eastAsiaTheme="majorEastAsia" w:hAnsiTheme="majorHAnsi" w:cstheme="majorBidi"/>
          <w:bCs/>
          <w:szCs w:val="28"/>
        </w:rPr>
        <w:t>the basis for their complaint</w:t>
      </w:r>
      <w:r w:rsidR="0081708E">
        <w:rPr>
          <w:rFonts w:asciiTheme="majorHAnsi" w:eastAsiaTheme="majorEastAsia" w:hAnsiTheme="majorHAnsi" w:cstheme="majorBidi"/>
          <w:bCs/>
          <w:szCs w:val="28"/>
        </w:rPr>
        <w:t xml:space="preserve"> under this head</w:t>
      </w:r>
      <w:r w:rsidR="003C17FE">
        <w:rPr>
          <w:rFonts w:asciiTheme="majorHAnsi" w:eastAsiaTheme="majorEastAsia" w:hAnsiTheme="majorHAnsi" w:cstheme="majorBidi"/>
          <w:bCs/>
          <w:szCs w:val="28"/>
        </w:rPr>
        <w:t xml:space="preserve">: </w:t>
      </w:r>
      <w:r w:rsidR="00AA7D1D">
        <w:rPr>
          <w:rFonts w:asciiTheme="majorHAnsi" w:eastAsiaTheme="majorEastAsia" w:hAnsiTheme="majorHAnsi" w:cstheme="majorBidi"/>
          <w:bCs/>
          <w:szCs w:val="28"/>
        </w:rPr>
        <w:t>verbal abuse</w:t>
      </w:r>
      <w:r w:rsidR="003C17FE">
        <w:rPr>
          <w:rFonts w:asciiTheme="majorHAnsi" w:eastAsiaTheme="majorEastAsia" w:hAnsiTheme="majorHAnsi" w:cstheme="majorBidi"/>
          <w:bCs/>
          <w:szCs w:val="28"/>
        </w:rPr>
        <w:t xml:space="preserve"> and physical violence by the detention centre staff</w:t>
      </w:r>
      <w:r w:rsidR="00E935C7">
        <w:rPr>
          <w:rFonts w:asciiTheme="majorHAnsi" w:eastAsiaTheme="majorEastAsia" w:hAnsiTheme="majorHAnsi" w:cstheme="majorBidi"/>
          <w:bCs/>
          <w:szCs w:val="28"/>
        </w:rPr>
        <w:t>,</w:t>
      </w:r>
      <w:r w:rsidR="003C17FE">
        <w:rPr>
          <w:rFonts w:asciiTheme="majorHAnsi" w:eastAsiaTheme="majorEastAsia" w:hAnsiTheme="majorHAnsi" w:cstheme="majorBidi"/>
          <w:bCs/>
          <w:szCs w:val="28"/>
        </w:rPr>
        <w:t xml:space="preserve"> limited privacy</w:t>
      </w:r>
      <w:r w:rsidR="00E935C7">
        <w:rPr>
          <w:rFonts w:asciiTheme="majorHAnsi" w:eastAsiaTheme="majorEastAsia" w:hAnsiTheme="majorHAnsi" w:cstheme="majorBidi"/>
          <w:bCs/>
          <w:szCs w:val="28"/>
        </w:rPr>
        <w:t>,</w:t>
      </w:r>
      <w:r w:rsidR="003C17FE">
        <w:rPr>
          <w:rFonts w:asciiTheme="majorHAnsi" w:eastAsiaTheme="majorEastAsia" w:hAnsiTheme="majorHAnsi" w:cstheme="majorBidi"/>
          <w:bCs/>
          <w:szCs w:val="28"/>
        </w:rPr>
        <w:t xml:space="preserve"> limited access to </w:t>
      </w:r>
      <w:r w:rsidR="00EB2F4B">
        <w:rPr>
          <w:rFonts w:asciiTheme="majorHAnsi" w:eastAsiaTheme="majorEastAsia" w:hAnsiTheme="majorHAnsi" w:cstheme="majorBidi"/>
          <w:bCs/>
          <w:szCs w:val="28"/>
        </w:rPr>
        <w:t xml:space="preserve">an </w:t>
      </w:r>
      <w:r w:rsidR="003C17FE">
        <w:rPr>
          <w:rFonts w:asciiTheme="majorHAnsi" w:eastAsiaTheme="majorEastAsia" w:hAnsiTheme="majorHAnsi" w:cstheme="majorBidi"/>
          <w:bCs/>
          <w:szCs w:val="28"/>
        </w:rPr>
        <w:t>interpret</w:t>
      </w:r>
      <w:r w:rsidR="00EB2F4B">
        <w:rPr>
          <w:rFonts w:asciiTheme="majorHAnsi" w:eastAsiaTheme="majorEastAsia" w:hAnsiTheme="majorHAnsi" w:cstheme="majorBidi"/>
          <w:bCs/>
          <w:szCs w:val="28"/>
        </w:rPr>
        <w:t>er</w:t>
      </w:r>
      <w:r w:rsidR="003C17FE">
        <w:rPr>
          <w:rFonts w:asciiTheme="majorHAnsi" w:eastAsiaTheme="majorEastAsia" w:hAnsiTheme="majorHAnsi" w:cstheme="majorBidi"/>
          <w:bCs/>
          <w:szCs w:val="28"/>
        </w:rPr>
        <w:t xml:space="preserve"> and legal aid</w:t>
      </w:r>
      <w:r w:rsidR="00E935C7">
        <w:rPr>
          <w:rFonts w:asciiTheme="majorHAnsi" w:eastAsiaTheme="majorEastAsia" w:hAnsiTheme="majorHAnsi" w:cstheme="majorBidi"/>
          <w:bCs/>
          <w:szCs w:val="28"/>
        </w:rPr>
        <w:t>,</w:t>
      </w:r>
      <w:r w:rsidR="003C17FE">
        <w:rPr>
          <w:rFonts w:asciiTheme="majorHAnsi" w:eastAsiaTheme="majorEastAsia" w:hAnsiTheme="majorHAnsi" w:cstheme="majorBidi"/>
          <w:bCs/>
          <w:szCs w:val="28"/>
        </w:rPr>
        <w:t xml:space="preserve"> </w:t>
      </w:r>
      <w:r w:rsidR="00157420">
        <w:rPr>
          <w:rFonts w:asciiTheme="majorHAnsi" w:eastAsiaTheme="majorEastAsia" w:hAnsiTheme="majorHAnsi" w:cstheme="majorBidi"/>
          <w:bCs/>
          <w:szCs w:val="28"/>
        </w:rPr>
        <w:t>lack of opportunity</w:t>
      </w:r>
      <w:r w:rsidR="003C17FE">
        <w:rPr>
          <w:rFonts w:asciiTheme="majorHAnsi" w:eastAsiaTheme="majorEastAsia" w:hAnsiTheme="majorHAnsi" w:cstheme="majorBidi"/>
          <w:bCs/>
          <w:szCs w:val="28"/>
        </w:rPr>
        <w:t xml:space="preserve"> to </w:t>
      </w:r>
      <w:r w:rsidR="00157420">
        <w:rPr>
          <w:rFonts w:asciiTheme="majorHAnsi" w:eastAsiaTheme="majorEastAsia" w:hAnsiTheme="majorHAnsi" w:cstheme="majorBidi"/>
          <w:bCs/>
          <w:szCs w:val="28"/>
        </w:rPr>
        <w:t xml:space="preserve">take </w:t>
      </w:r>
      <w:r w:rsidR="003C17FE">
        <w:rPr>
          <w:rFonts w:asciiTheme="majorHAnsi" w:eastAsiaTheme="majorEastAsia" w:hAnsiTheme="majorHAnsi" w:cstheme="majorBidi"/>
          <w:bCs/>
          <w:szCs w:val="28"/>
        </w:rPr>
        <w:t>walks and</w:t>
      </w:r>
      <w:r w:rsidR="00157420">
        <w:rPr>
          <w:rFonts w:asciiTheme="majorHAnsi" w:eastAsiaTheme="majorEastAsia" w:hAnsiTheme="majorHAnsi" w:cstheme="majorBidi"/>
          <w:bCs/>
          <w:szCs w:val="28"/>
        </w:rPr>
        <w:t xml:space="preserve"> have</w:t>
      </w:r>
      <w:r w:rsidR="003C17FE">
        <w:rPr>
          <w:rFonts w:asciiTheme="majorHAnsi" w:eastAsiaTheme="majorEastAsia" w:hAnsiTheme="majorHAnsi" w:cstheme="majorBidi"/>
          <w:bCs/>
          <w:szCs w:val="28"/>
        </w:rPr>
        <w:t xml:space="preserve"> outdoor exercise</w:t>
      </w:r>
      <w:r w:rsidR="00E935C7">
        <w:rPr>
          <w:rFonts w:asciiTheme="majorHAnsi" w:eastAsiaTheme="majorEastAsia" w:hAnsiTheme="majorHAnsi" w:cstheme="majorBidi"/>
          <w:bCs/>
          <w:szCs w:val="28"/>
        </w:rPr>
        <w:t>, and a</w:t>
      </w:r>
      <w:r w:rsidR="003C17FE">
        <w:rPr>
          <w:rFonts w:asciiTheme="majorHAnsi" w:eastAsiaTheme="majorEastAsia" w:hAnsiTheme="majorHAnsi" w:cstheme="majorBidi"/>
          <w:bCs/>
          <w:szCs w:val="28"/>
        </w:rPr>
        <w:t xml:space="preserve"> lack of medical</w:t>
      </w:r>
      <w:r w:rsidR="00E935C7">
        <w:rPr>
          <w:rFonts w:asciiTheme="majorHAnsi" w:eastAsiaTheme="majorEastAsia" w:hAnsiTheme="majorHAnsi" w:cstheme="majorBidi"/>
          <w:bCs/>
          <w:szCs w:val="28"/>
        </w:rPr>
        <w:t xml:space="preserve"> treatment</w:t>
      </w:r>
      <w:r w:rsidR="003C17FE">
        <w:rPr>
          <w:rFonts w:asciiTheme="majorHAnsi" w:eastAsiaTheme="majorEastAsia" w:hAnsiTheme="majorHAnsi" w:cstheme="majorBidi"/>
          <w:bCs/>
          <w:szCs w:val="28"/>
        </w:rPr>
        <w:t xml:space="preserve">. They </w:t>
      </w:r>
      <w:r w:rsidR="00AA7D1D">
        <w:rPr>
          <w:rFonts w:asciiTheme="majorHAnsi" w:eastAsiaTheme="majorEastAsia" w:hAnsiTheme="majorHAnsi" w:cstheme="majorBidi"/>
          <w:bCs/>
          <w:szCs w:val="28"/>
        </w:rPr>
        <w:t xml:space="preserve">referred to their complaints and </w:t>
      </w:r>
      <w:r w:rsidR="00295977">
        <w:rPr>
          <w:rFonts w:asciiTheme="majorHAnsi" w:eastAsiaTheme="majorEastAsia" w:hAnsiTheme="majorHAnsi" w:cstheme="majorBidi"/>
          <w:bCs/>
          <w:szCs w:val="28"/>
        </w:rPr>
        <w:t xml:space="preserve">the </w:t>
      </w:r>
      <w:r w:rsidR="00AA7D1D">
        <w:rPr>
          <w:rFonts w:asciiTheme="majorHAnsi" w:eastAsiaTheme="majorEastAsia" w:hAnsiTheme="majorHAnsi" w:cstheme="majorBidi"/>
          <w:bCs/>
          <w:szCs w:val="28"/>
        </w:rPr>
        <w:t>affidavits made by themselves and to their representatives. The</w:t>
      </w:r>
      <w:r w:rsidR="00A80851">
        <w:rPr>
          <w:rFonts w:asciiTheme="majorHAnsi" w:eastAsiaTheme="majorEastAsia" w:hAnsiTheme="majorHAnsi" w:cstheme="majorBidi"/>
          <w:bCs/>
          <w:szCs w:val="28"/>
        </w:rPr>
        <w:t>y</w:t>
      </w:r>
      <w:r w:rsidR="00AA7D1D">
        <w:rPr>
          <w:rFonts w:asciiTheme="majorHAnsi" w:eastAsiaTheme="majorEastAsia" w:hAnsiTheme="majorHAnsi" w:cstheme="majorBidi"/>
          <w:bCs/>
          <w:szCs w:val="28"/>
        </w:rPr>
        <w:t xml:space="preserve"> believed that the cumulative effect of these factors amounted to inhuman and degrading treatment. </w:t>
      </w:r>
      <w:r w:rsidR="0081708E">
        <w:rPr>
          <w:rFonts w:asciiTheme="majorHAnsi" w:eastAsiaTheme="majorEastAsia" w:hAnsiTheme="majorHAnsi" w:cstheme="majorBidi"/>
          <w:bCs/>
          <w:szCs w:val="28"/>
        </w:rPr>
        <w:t>They also referred to the Courts</w:t>
      </w:r>
      <w:r w:rsidR="00BA3D89">
        <w:rPr>
          <w:rFonts w:asciiTheme="majorHAnsi" w:eastAsiaTheme="majorEastAsia" w:hAnsiTheme="majorHAnsi" w:cstheme="majorBidi"/>
          <w:bCs/>
          <w:szCs w:val="28"/>
        </w:rPr>
        <w:t>’</w:t>
      </w:r>
      <w:r w:rsidR="0081708E">
        <w:rPr>
          <w:rFonts w:asciiTheme="majorHAnsi" w:eastAsiaTheme="majorEastAsia" w:hAnsiTheme="majorHAnsi" w:cstheme="majorBidi"/>
          <w:bCs/>
          <w:szCs w:val="28"/>
        </w:rPr>
        <w:t xml:space="preserve"> previous findings of</w:t>
      </w:r>
      <w:r w:rsidR="00A80851">
        <w:rPr>
          <w:rFonts w:asciiTheme="majorHAnsi" w:eastAsiaTheme="majorEastAsia" w:hAnsiTheme="majorHAnsi" w:cstheme="majorBidi"/>
          <w:bCs/>
          <w:szCs w:val="28"/>
        </w:rPr>
        <w:t xml:space="preserve"> a</w:t>
      </w:r>
      <w:r w:rsidR="0081708E">
        <w:rPr>
          <w:rFonts w:asciiTheme="majorHAnsi" w:eastAsiaTheme="majorEastAsia" w:hAnsiTheme="majorHAnsi" w:cstheme="majorBidi"/>
          <w:bCs/>
          <w:szCs w:val="28"/>
        </w:rPr>
        <w:t xml:space="preserve"> violation of Article 3 </w:t>
      </w:r>
      <w:r w:rsidR="00A80851">
        <w:rPr>
          <w:rFonts w:asciiTheme="majorHAnsi" w:eastAsiaTheme="majorEastAsia" w:hAnsiTheme="majorHAnsi" w:cstheme="majorBidi"/>
          <w:bCs/>
          <w:szCs w:val="28"/>
        </w:rPr>
        <w:t>on account of</w:t>
      </w:r>
      <w:r w:rsidR="0081708E">
        <w:rPr>
          <w:rFonts w:asciiTheme="majorHAnsi" w:eastAsiaTheme="majorEastAsia" w:hAnsiTheme="majorHAnsi" w:cstheme="majorBidi"/>
          <w:bCs/>
          <w:szCs w:val="28"/>
        </w:rPr>
        <w:t xml:space="preserve"> the conditions of confinement in detention centres for foreign nationals pending expulsion and argued that conditions there, as a rule, were substandard to the requirements of the Convention.</w:t>
      </w:r>
    </w:p>
    <w:p w:rsidR="009E1BDD" w:rsidRDefault="00AA7D1D" w:rsidP="00F62FF9">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130</w:t>
      </w:r>
      <w:r>
        <w:rPr>
          <w:rFonts w:asciiTheme="majorHAnsi" w:eastAsiaTheme="majorEastAsia" w:hAnsiTheme="majorHAnsi" w:cstheme="majorBidi"/>
          <w:bCs/>
          <w:szCs w:val="28"/>
        </w:rPr>
        <w:fldChar w:fldCharType="end"/>
      </w:r>
      <w:r>
        <w:rPr>
          <w:rFonts w:asciiTheme="majorHAnsi" w:eastAsiaTheme="majorEastAsia" w:hAnsiTheme="majorHAnsi" w:cstheme="majorBidi"/>
          <w:bCs/>
          <w:szCs w:val="28"/>
        </w:rPr>
        <w:t>.  The Government were of the opinion that the conditions of the applicants</w:t>
      </w:r>
      <w:r w:rsidR="00BA3D89">
        <w:rPr>
          <w:rFonts w:asciiTheme="majorHAnsi" w:eastAsiaTheme="majorEastAsia" w:hAnsiTheme="majorHAnsi" w:cstheme="majorBidi"/>
          <w:bCs/>
          <w:szCs w:val="28"/>
        </w:rPr>
        <w:t>’</w:t>
      </w:r>
      <w:r>
        <w:rPr>
          <w:rFonts w:asciiTheme="majorHAnsi" w:eastAsiaTheme="majorEastAsia" w:hAnsiTheme="majorHAnsi" w:cstheme="majorBidi"/>
          <w:bCs/>
          <w:szCs w:val="28"/>
        </w:rPr>
        <w:t xml:space="preserve"> detention at the centre had not disclosed a violation of Article 3. They referred to the minim</w:t>
      </w:r>
      <w:r w:rsidR="000C1D0F">
        <w:rPr>
          <w:rFonts w:asciiTheme="majorHAnsi" w:eastAsiaTheme="majorEastAsia" w:hAnsiTheme="majorHAnsi" w:cstheme="majorBidi"/>
          <w:bCs/>
          <w:szCs w:val="28"/>
        </w:rPr>
        <w:t>um</w:t>
      </w:r>
      <w:r>
        <w:rPr>
          <w:rFonts w:asciiTheme="majorHAnsi" w:eastAsiaTheme="majorEastAsia" w:hAnsiTheme="majorHAnsi" w:cstheme="majorBidi"/>
          <w:bCs/>
          <w:szCs w:val="28"/>
        </w:rPr>
        <w:t xml:space="preserve"> standards established by the relevant legislation (see paragraph</w:t>
      </w:r>
      <w:r w:rsidR="00E038B6">
        <w:rPr>
          <w:rFonts w:asciiTheme="majorHAnsi" w:eastAsiaTheme="majorEastAsia" w:hAnsiTheme="majorHAnsi" w:cstheme="majorBidi"/>
          <w:bCs/>
          <w:szCs w:val="28"/>
        </w:rPr>
        <w:t xml:space="preserve">s </w:t>
      </w:r>
      <w:r w:rsidR="00E83AD8">
        <w:rPr>
          <w:noProof/>
        </w:rPr>
        <w:t>74</w:t>
      </w:r>
      <w:r w:rsidR="00A80851" w:rsidRPr="00117715">
        <w:rPr>
          <w:rFonts w:asciiTheme="majorHAnsi" w:eastAsiaTheme="majorEastAsia" w:hAnsiTheme="majorHAnsi" w:cstheme="majorBidi"/>
          <w:bCs/>
          <w:szCs w:val="28"/>
        </w:rPr>
        <w:t xml:space="preserve"> and </w:t>
      </w:r>
      <w:r w:rsidR="00E83AD8">
        <w:rPr>
          <w:noProof/>
        </w:rPr>
        <w:t>75</w:t>
      </w:r>
      <w:r>
        <w:rPr>
          <w:rFonts w:asciiTheme="majorHAnsi" w:eastAsiaTheme="majorEastAsia" w:hAnsiTheme="majorHAnsi" w:cstheme="majorBidi"/>
          <w:bCs/>
          <w:szCs w:val="28"/>
        </w:rPr>
        <w:t xml:space="preserve"> </w:t>
      </w:r>
      <w:r w:rsidR="00632C7C">
        <w:rPr>
          <w:rFonts w:asciiTheme="majorHAnsi" w:eastAsiaTheme="majorEastAsia" w:hAnsiTheme="majorHAnsi" w:cstheme="majorBidi"/>
          <w:bCs/>
          <w:szCs w:val="28"/>
        </w:rPr>
        <w:t>above</w:t>
      </w:r>
      <w:r>
        <w:rPr>
          <w:rFonts w:asciiTheme="majorHAnsi" w:eastAsiaTheme="majorEastAsia" w:hAnsiTheme="majorHAnsi" w:cstheme="majorBidi"/>
          <w:bCs/>
          <w:szCs w:val="28"/>
        </w:rPr>
        <w:t>) and</w:t>
      </w:r>
      <w:r w:rsidR="0081708E">
        <w:rPr>
          <w:rFonts w:asciiTheme="majorHAnsi" w:eastAsiaTheme="majorEastAsia" w:hAnsiTheme="majorHAnsi" w:cstheme="majorBidi"/>
          <w:bCs/>
          <w:szCs w:val="28"/>
        </w:rPr>
        <w:t xml:space="preserve"> stressed that these requirements had been complied with at the detention centre in the Kaluga Region. </w:t>
      </w:r>
      <w:r w:rsidR="00E038B6">
        <w:rPr>
          <w:rFonts w:asciiTheme="majorHAnsi" w:eastAsiaTheme="majorEastAsia" w:hAnsiTheme="majorHAnsi" w:cstheme="majorBidi"/>
          <w:bCs/>
          <w:szCs w:val="28"/>
        </w:rPr>
        <w:t>As to the material conditions of the applicants</w:t>
      </w:r>
      <w:r w:rsidR="00BA3D89">
        <w:rPr>
          <w:rFonts w:asciiTheme="majorHAnsi" w:eastAsiaTheme="majorEastAsia" w:hAnsiTheme="majorHAnsi" w:cstheme="majorBidi"/>
          <w:bCs/>
          <w:szCs w:val="28"/>
        </w:rPr>
        <w:t>’</w:t>
      </w:r>
      <w:r w:rsidR="00E038B6">
        <w:rPr>
          <w:rFonts w:asciiTheme="majorHAnsi" w:eastAsiaTheme="majorEastAsia" w:hAnsiTheme="majorHAnsi" w:cstheme="majorBidi"/>
          <w:bCs/>
          <w:szCs w:val="28"/>
        </w:rPr>
        <w:t xml:space="preserve"> detention, the Government pointed out that </w:t>
      </w:r>
      <w:r w:rsidR="00807B20">
        <w:rPr>
          <w:rFonts w:asciiTheme="majorHAnsi" w:eastAsiaTheme="majorEastAsia" w:hAnsiTheme="majorHAnsi" w:cstheme="majorBidi"/>
          <w:bCs/>
          <w:szCs w:val="28"/>
        </w:rPr>
        <w:t>M.A.</w:t>
      </w:r>
      <w:r w:rsidR="00E038B6">
        <w:rPr>
          <w:rFonts w:asciiTheme="majorHAnsi" w:eastAsiaTheme="majorEastAsia" w:hAnsiTheme="majorHAnsi" w:cstheme="majorBidi"/>
          <w:bCs/>
          <w:szCs w:val="28"/>
        </w:rPr>
        <w:t xml:space="preserve"> and L.M. had been detained </w:t>
      </w:r>
      <w:r w:rsidR="00EE299D">
        <w:rPr>
          <w:rFonts w:asciiTheme="majorHAnsi" w:eastAsiaTheme="majorEastAsia" w:hAnsiTheme="majorHAnsi" w:cstheme="majorBidi"/>
          <w:bCs/>
          <w:szCs w:val="28"/>
        </w:rPr>
        <w:t>in</w:t>
      </w:r>
      <w:r w:rsidR="00E038B6">
        <w:rPr>
          <w:rFonts w:asciiTheme="majorHAnsi" w:eastAsiaTheme="majorEastAsia" w:hAnsiTheme="majorHAnsi" w:cstheme="majorBidi"/>
          <w:bCs/>
          <w:szCs w:val="28"/>
        </w:rPr>
        <w:t xml:space="preserve"> a room measuring 47 square metres and designed to hold six detainees; each</w:t>
      </w:r>
      <w:r w:rsidR="00EE299D">
        <w:rPr>
          <w:rFonts w:asciiTheme="majorHAnsi" w:eastAsiaTheme="majorEastAsia" w:hAnsiTheme="majorHAnsi" w:cstheme="majorBidi"/>
          <w:bCs/>
          <w:szCs w:val="28"/>
        </w:rPr>
        <w:t xml:space="preserve"> having</w:t>
      </w:r>
      <w:r w:rsidR="00E038B6">
        <w:rPr>
          <w:rFonts w:asciiTheme="majorHAnsi" w:eastAsiaTheme="majorEastAsia" w:hAnsiTheme="majorHAnsi" w:cstheme="majorBidi"/>
          <w:bCs/>
          <w:szCs w:val="28"/>
        </w:rPr>
        <w:t xml:space="preserve"> a personal space of almost eight </w:t>
      </w:r>
      <w:r w:rsidR="00761951">
        <w:rPr>
          <w:rFonts w:asciiTheme="majorHAnsi" w:eastAsiaTheme="majorEastAsia" w:hAnsiTheme="majorHAnsi" w:cstheme="majorBidi"/>
          <w:bCs/>
          <w:szCs w:val="28"/>
        </w:rPr>
        <w:t xml:space="preserve">square </w:t>
      </w:r>
      <w:r w:rsidR="00E038B6">
        <w:rPr>
          <w:rFonts w:asciiTheme="majorHAnsi" w:eastAsiaTheme="majorEastAsia" w:hAnsiTheme="majorHAnsi" w:cstheme="majorBidi"/>
          <w:bCs/>
          <w:szCs w:val="28"/>
        </w:rPr>
        <w:t xml:space="preserve">metres, an individual bed and bedding. The room had </w:t>
      </w:r>
      <w:r w:rsidR="00BD2CED">
        <w:rPr>
          <w:rFonts w:asciiTheme="majorHAnsi" w:eastAsiaTheme="majorEastAsia" w:hAnsiTheme="majorHAnsi" w:cstheme="majorBidi"/>
          <w:bCs/>
          <w:szCs w:val="28"/>
        </w:rPr>
        <w:t>large windows with unrestricted access to light and ventilation and artificial light in the evenings</w:t>
      </w:r>
      <w:r w:rsidR="00EE299D">
        <w:rPr>
          <w:rFonts w:asciiTheme="majorHAnsi" w:eastAsiaTheme="majorEastAsia" w:hAnsiTheme="majorHAnsi" w:cstheme="majorBidi"/>
          <w:bCs/>
          <w:szCs w:val="28"/>
        </w:rPr>
        <w:t>,</w:t>
      </w:r>
      <w:r w:rsidR="00BD2CED">
        <w:rPr>
          <w:rFonts w:asciiTheme="majorHAnsi" w:eastAsiaTheme="majorEastAsia" w:hAnsiTheme="majorHAnsi" w:cstheme="majorBidi"/>
          <w:bCs/>
          <w:szCs w:val="28"/>
        </w:rPr>
        <w:t xml:space="preserve"> inmates had </w:t>
      </w:r>
      <w:r w:rsidR="00E038B6">
        <w:rPr>
          <w:rFonts w:asciiTheme="majorHAnsi" w:eastAsiaTheme="majorEastAsia" w:hAnsiTheme="majorHAnsi" w:cstheme="majorBidi"/>
          <w:bCs/>
          <w:szCs w:val="28"/>
        </w:rPr>
        <w:t xml:space="preserve">access to </w:t>
      </w:r>
      <w:r w:rsidR="00BD2CED">
        <w:rPr>
          <w:rFonts w:asciiTheme="majorHAnsi" w:eastAsiaTheme="majorEastAsia" w:hAnsiTheme="majorHAnsi" w:cstheme="majorBidi"/>
          <w:bCs/>
          <w:szCs w:val="28"/>
        </w:rPr>
        <w:t>a partitioned</w:t>
      </w:r>
      <w:r w:rsidR="00E038B6">
        <w:rPr>
          <w:rFonts w:asciiTheme="majorHAnsi" w:eastAsiaTheme="majorEastAsia" w:hAnsiTheme="majorHAnsi" w:cstheme="majorBidi"/>
          <w:bCs/>
          <w:szCs w:val="28"/>
        </w:rPr>
        <w:t xml:space="preserve"> toilet</w:t>
      </w:r>
      <w:r w:rsidR="00863AC1">
        <w:rPr>
          <w:rFonts w:asciiTheme="majorHAnsi" w:eastAsiaTheme="majorEastAsia" w:hAnsiTheme="majorHAnsi" w:cstheme="majorBidi"/>
          <w:bCs/>
          <w:szCs w:val="28"/>
        </w:rPr>
        <w:t>,</w:t>
      </w:r>
      <w:r w:rsidR="00EE299D">
        <w:rPr>
          <w:rFonts w:asciiTheme="majorHAnsi" w:eastAsiaTheme="majorEastAsia" w:hAnsiTheme="majorHAnsi" w:cstheme="majorBidi"/>
          <w:bCs/>
          <w:szCs w:val="28"/>
        </w:rPr>
        <w:t xml:space="preserve"> and a</w:t>
      </w:r>
      <w:r w:rsidR="00E038B6">
        <w:rPr>
          <w:rFonts w:asciiTheme="majorHAnsi" w:eastAsiaTheme="majorEastAsia" w:hAnsiTheme="majorHAnsi" w:cstheme="majorBidi"/>
          <w:bCs/>
          <w:szCs w:val="28"/>
        </w:rPr>
        <w:t xml:space="preserve"> shared bathroom was accessible on request (see paragraph </w:t>
      </w:r>
      <w:r w:rsidR="00E83AD8">
        <w:rPr>
          <w:noProof/>
        </w:rPr>
        <w:t>60</w:t>
      </w:r>
      <w:r w:rsidR="0030543C">
        <w:rPr>
          <w:rFonts w:asciiTheme="majorHAnsi" w:eastAsiaTheme="majorEastAsia" w:hAnsiTheme="majorHAnsi" w:cstheme="majorBidi"/>
          <w:bCs/>
          <w:szCs w:val="28"/>
        </w:rPr>
        <w:t xml:space="preserve"> </w:t>
      </w:r>
      <w:r w:rsidR="00E038B6">
        <w:rPr>
          <w:rFonts w:asciiTheme="majorHAnsi" w:eastAsiaTheme="majorEastAsia" w:hAnsiTheme="majorHAnsi" w:cstheme="majorBidi"/>
          <w:bCs/>
          <w:szCs w:val="28"/>
        </w:rPr>
        <w:t xml:space="preserve">above). Exercise </w:t>
      </w:r>
      <w:r w:rsidR="00863AC1">
        <w:rPr>
          <w:rFonts w:asciiTheme="majorHAnsi" w:eastAsiaTheme="majorEastAsia" w:hAnsiTheme="majorHAnsi" w:cstheme="majorBidi"/>
          <w:bCs/>
          <w:szCs w:val="28"/>
        </w:rPr>
        <w:t>could be taken</w:t>
      </w:r>
      <w:r w:rsidR="00BD2CED">
        <w:rPr>
          <w:rFonts w:asciiTheme="majorHAnsi" w:eastAsiaTheme="majorEastAsia" w:hAnsiTheme="majorHAnsi" w:cstheme="majorBidi"/>
          <w:bCs/>
          <w:szCs w:val="28"/>
        </w:rPr>
        <w:t xml:space="preserve"> daily</w:t>
      </w:r>
      <w:r w:rsidR="00946985">
        <w:rPr>
          <w:rFonts w:asciiTheme="majorHAnsi" w:eastAsiaTheme="majorEastAsia" w:hAnsiTheme="majorHAnsi" w:cstheme="majorBidi"/>
          <w:bCs/>
          <w:szCs w:val="28"/>
        </w:rPr>
        <w:t xml:space="preserve"> (see paragraph </w:t>
      </w:r>
      <w:r w:rsidR="00E83AD8">
        <w:rPr>
          <w:noProof/>
        </w:rPr>
        <w:t>58</w:t>
      </w:r>
      <w:r w:rsidR="0030543C">
        <w:rPr>
          <w:rFonts w:asciiTheme="majorHAnsi" w:eastAsiaTheme="majorEastAsia" w:hAnsiTheme="majorHAnsi" w:cstheme="majorBidi"/>
          <w:bCs/>
          <w:szCs w:val="28"/>
        </w:rPr>
        <w:t xml:space="preserve"> </w:t>
      </w:r>
      <w:r w:rsidR="00946985">
        <w:rPr>
          <w:rFonts w:asciiTheme="majorHAnsi" w:eastAsiaTheme="majorEastAsia" w:hAnsiTheme="majorHAnsi" w:cstheme="majorBidi"/>
          <w:bCs/>
          <w:szCs w:val="28"/>
        </w:rPr>
        <w:lastRenderedPageBreak/>
        <w:t xml:space="preserve">above). The centre was staffed with medical professionals who provided </w:t>
      </w:r>
      <w:r w:rsidR="00EE299D">
        <w:rPr>
          <w:rFonts w:asciiTheme="majorHAnsi" w:eastAsiaTheme="majorEastAsia" w:hAnsiTheme="majorHAnsi" w:cstheme="majorBidi"/>
          <w:bCs/>
          <w:szCs w:val="28"/>
        </w:rPr>
        <w:t xml:space="preserve">the </w:t>
      </w:r>
      <w:r w:rsidR="00946985">
        <w:rPr>
          <w:rFonts w:asciiTheme="majorHAnsi" w:eastAsiaTheme="majorEastAsia" w:hAnsiTheme="majorHAnsi" w:cstheme="majorBidi"/>
          <w:bCs/>
          <w:szCs w:val="28"/>
        </w:rPr>
        <w:t xml:space="preserve">necessary care to the inmates, including </w:t>
      </w:r>
      <w:r w:rsidR="00EE299D">
        <w:rPr>
          <w:rFonts w:asciiTheme="majorHAnsi" w:eastAsiaTheme="majorEastAsia" w:hAnsiTheme="majorHAnsi" w:cstheme="majorBidi"/>
          <w:bCs/>
          <w:szCs w:val="28"/>
        </w:rPr>
        <w:t xml:space="preserve">the </w:t>
      </w:r>
      <w:r w:rsidR="00946985">
        <w:rPr>
          <w:rFonts w:asciiTheme="majorHAnsi" w:eastAsiaTheme="majorEastAsia" w:hAnsiTheme="majorHAnsi" w:cstheme="majorBidi"/>
          <w:bCs/>
          <w:szCs w:val="28"/>
        </w:rPr>
        <w:t xml:space="preserve">applicants (see paragraph </w:t>
      </w:r>
      <w:r w:rsidR="00E83AD8">
        <w:rPr>
          <w:noProof/>
        </w:rPr>
        <w:t>59</w:t>
      </w:r>
      <w:r w:rsidR="0030543C">
        <w:rPr>
          <w:rFonts w:asciiTheme="majorHAnsi" w:eastAsiaTheme="majorEastAsia" w:hAnsiTheme="majorHAnsi" w:cstheme="majorBidi"/>
          <w:bCs/>
          <w:szCs w:val="28"/>
        </w:rPr>
        <w:t xml:space="preserve"> </w:t>
      </w:r>
      <w:r w:rsidR="00946985">
        <w:rPr>
          <w:rFonts w:asciiTheme="majorHAnsi" w:eastAsiaTheme="majorEastAsia" w:hAnsiTheme="majorHAnsi" w:cstheme="majorBidi"/>
          <w:bCs/>
          <w:szCs w:val="28"/>
        </w:rPr>
        <w:t>above).</w:t>
      </w:r>
    </w:p>
    <w:p w:rsidR="00AA7D1D" w:rsidRDefault="003C1523" w:rsidP="003C1523">
      <w:pPr>
        <w:pStyle w:val="ECHRHeading2"/>
      </w:pPr>
      <w:r>
        <w:t>B</w:t>
      </w:r>
      <w:r w:rsidR="00AA7D1D">
        <w:t>.  </w:t>
      </w:r>
      <w:r w:rsidR="00AA7D1D" w:rsidRPr="00AA7D1D">
        <w:t>The Court</w:t>
      </w:r>
      <w:r w:rsidR="00BA3D89">
        <w:t>’</w:t>
      </w:r>
      <w:r w:rsidR="00AA7D1D" w:rsidRPr="00AA7D1D">
        <w:t>s assessment</w:t>
      </w:r>
    </w:p>
    <w:p w:rsidR="009E1BDD" w:rsidRDefault="003B0316" w:rsidP="003B0316">
      <w:pPr>
        <w:pStyle w:val="ECHRPara"/>
        <w:rPr>
          <w:snapToGrid w:val="0"/>
        </w:rPr>
      </w:pPr>
      <w:r w:rsidRPr="00484279">
        <w:fldChar w:fldCharType="begin"/>
      </w:r>
      <w:r w:rsidRPr="00484279">
        <w:instrText xml:space="preserve"> SEQ level0 \*arabic </w:instrText>
      </w:r>
      <w:r w:rsidRPr="00484279">
        <w:fldChar w:fldCharType="separate"/>
      </w:r>
      <w:r w:rsidR="00D21AD2">
        <w:rPr>
          <w:noProof/>
        </w:rPr>
        <w:t>131</w:t>
      </w:r>
      <w:r w:rsidRPr="00484279">
        <w:fldChar w:fldCharType="end"/>
      </w:r>
      <w:r w:rsidRPr="00484279">
        <w:t>.  </w:t>
      </w:r>
      <w:r w:rsidR="0081708E" w:rsidRPr="00484279">
        <w:t xml:space="preserve">The Court has previously found the conditions of detention at </w:t>
      </w:r>
      <w:r w:rsidR="00B43F18">
        <w:t xml:space="preserve">some </w:t>
      </w:r>
      <w:r w:rsidR="0081708E" w:rsidRPr="00484279">
        <w:t>Russian facilities for foreign</w:t>
      </w:r>
      <w:r w:rsidR="00E2537E">
        <w:t xml:space="preserve"> nationals</w:t>
      </w:r>
      <w:r w:rsidR="0081708E" w:rsidRPr="00484279">
        <w:t xml:space="preserve"> to be in breach of Article 3 guarantees. In doing so, the Court </w:t>
      </w:r>
      <w:r w:rsidR="00E2537E">
        <w:t xml:space="preserve">has </w:t>
      </w:r>
      <w:r w:rsidR="0081708E" w:rsidRPr="00484279">
        <w:t xml:space="preserve">had regard to constant overcrowding which </w:t>
      </w:r>
      <w:r w:rsidR="0081708E" w:rsidRPr="00E83AD8">
        <w:t xml:space="preserve">was severe enough to justify, in its own right, </w:t>
      </w:r>
      <w:r w:rsidR="00E2537E" w:rsidRPr="00E83AD8">
        <w:t>the</w:t>
      </w:r>
      <w:r w:rsidR="0081708E" w:rsidRPr="00E83AD8">
        <w:t xml:space="preserve"> finding of a violation of Article 3 of the Convention</w:t>
      </w:r>
      <w:r w:rsidR="00946985" w:rsidRPr="00E83AD8">
        <w:t>,</w:t>
      </w:r>
      <w:r w:rsidR="00E2537E" w:rsidRPr="00E83AD8">
        <w:t xml:space="preserve"> </w:t>
      </w:r>
      <w:r w:rsidR="00946985" w:rsidRPr="00E83AD8">
        <w:t xml:space="preserve">seen against the background of virtually non-existent outdoor exercise and deficient hygiene facilities </w:t>
      </w:r>
      <w:r w:rsidR="0081708E" w:rsidRPr="00E83AD8">
        <w:t xml:space="preserve">(see </w:t>
      </w:r>
      <w:r w:rsidR="00946985" w:rsidRPr="00484279">
        <w:rPr>
          <w:i/>
        </w:rPr>
        <w:t>Kim v. Russia</w:t>
      </w:r>
      <w:r w:rsidR="00946985" w:rsidRPr="00484279">
        <w:t>, no. 44260/13</w:t>
      </w:r>
      <w:r w:rsidR="00946985" w:rsidRPr="00484279">
        <w:rPr>
          <w:snapToGrid w:val="0"/>
        </w:rPr>
        <w:t>, § 32, 17 July 2014).</w:t>
      </w:r>
    </w:p>
    <w:p w:rsidR="009E1BDD" w:rsidRDefault="00D5296A" w:rsidP="00AE268D">
      <w:pPr>
        <w:pStyle w:val="ECHRPara"/>
      </w:pPr>
      <w:r w:rsidRPr="00484279">
        <w:fldChar w:fldCharType="begin"/>
      </w:r>
      <w:r w:rsidRPr="00484279">
        <w:instrText xml:space="preserve"> SEQ level0 \*arabic </w:instrText>
      </w:r>
      <w:r w:rsidRPr="00484279">
        <w:fldChar w:fldCharType="separate"/>
      </w:r>
      <w:r w:rsidR="00D21AD2">
        <w:rPr>
          <w:noProof/>
        </w:rPr>
        <w:t>132</w:t>
      </w:r>
      <w:r w:rsidRPr="00484279">
        <w:fldChar w:fldCharType="end"/>
      </w:r>
      <w:r w:rsidRPr="00484279">
        <w:t>.  In so far as the applicants complain</w:t>
      </w:r>
      <w:r w:rsidR="00E2537E">
        <w:t>ed</w:t>
      </w:r>
      <w:r w:rsidR="00EB38CC" w:rsidRPr="00484279">
        <w:t xml:space="preserve"> about the material conditions</w:t>
      </w:r>
      <w:r w:rsidRPr="00484279">
        <w:t xml:space="preserve">, the Government </w:t>
      </w:r>
      <w:r w:rsidR="00EB38CC" w:rsidRPr="00484279">
        <w:t xml:space="preserve">presented </w:t>
      </w:r>
      <w:r w:rsidR="00E2537E">
        <w:t xml:space="preserve">a </w:t>
      </w:r>
      <w:r w:rsidR="00EB38CC" w:rsidRPr="00484279">
        <w:t>detailed description of the accommodation facilities, accompanied by relevant documents and other evidence.</w:t>
      </w:r>
      <w:r w:rsidR="00BD2CED">
        <w:t xml:space="preserve"> </w:t>
      </w:r>
      <w:r w:rsidR="00EB38CC" w:rsidRPr="00484279">
        <w:t>L.M.</w:t>
      </w:r>
      <w:r w:rsidR="00E2537E">
        <w:t xml:space="preserve"> confirmed</w:t>
      </w:r>
      <w:r w:rsidR="00EB38CC" w:rsidRPr="00484279">
        <w:t xml:space="preserve"> in his interview of 17 December 2014 that the material conditions of accommodation had not posed any particular problems in terms of overcrowding, personal space, hygiene and bathing facilities or access to re</w:t>
      </w:r>
      <w:r w:rsidR="00484279" w:rsidRPr="00484279">
        <w:t xml:space="preserve">gular outdoor exercise (see </w:t>
      </w:r>
      <w:r w:rsidR="00484279">
        <w:t xml:space="preserve">paragraph </w:t>
      </w:r>
      <w:r w:rsidR="00E83AD8">
        <w:rPr>
          <w:noProof/>
        </w:rPr>
        <w:t>52</w:t>
      </w:r>
      <w:r w:rsidR="0030543C">
        <w:t xml:space="preserve"> </w:t>
      </w:r>
      <w:r w:rsidR="00EB38CC" w:rsidRPr="00484279">
        <w:t xml:space="preserve">above). </w:t>
      </w:r>
      <w:r w:rsidR="00807B20">
        <w:t>M.A.</w:t>
      </w:r>
      <w:r w:rsidR="00EB38CC" w:rsidRPr="00484279">
        <w:t xml:space="preserve"> </w:t>
      </w:r>
      <w:r w:rsidR="00E2537E">
        <w:t>did</w:t>
      </w:r>
      <w:r w:rsidR="00EB38CC" w:rsidRPr="00484279">
        <w:t xml:space="preserve"> not ma</w:t>
      </w:r>
      <w:r w:rsidR="00E2537E">
        <w:t>k</w:t>
      </w:r>
      <w:r w:rsidR="00EB38CC" w:rsidRPr="00484279">
        <w:t>e any specific submission</w:t>
      </w:r>
      <w:r w:rsidR="00E2537E">
        <w:t>s</w:t>
      </w:r>
      <w:r w:rsidR="00EB38CC" w:rsidRPr="00484279">
        <w:t xml:space="preserve"> on that subject.</w:t>
      </w:r>
    </w:p>
    <w:p w:rsidR="00BD2CED" w:rsidRPr="00E83AD8" w:rsidRDefault="00EB38CC" w:rsidP="00AE268D">
      <w:pPr>
        <w:pStyle w:val="ECHRPara"/>
      </w:pPr>
      <w:r w:rsidRPr="00484279">
        <w:fldChar w:fldCharType="begin"/>
      </w:r>
      <w:r w:rsidRPr="00484279">
        <w:instrText xml:space="preserve"> SEQ level0 \*arabic </w:instrText>
      </w:r>
      <w:r w:rsidRPr="00484279">
        <w:fldChar w:fldCharType="separate"/>
      </w:r>
      <w:r w:rsidR="00D21AD2">
        <w:rPr>
          <w:noProof/>
        </w:rPr>
        <w:t>133</w:t>
      </w:r>
      <w:r w:rsidRPr="00484279">
        <w:fldChar w:fldCharType="end"/>
      </w:r>
      <w:r w:rsidRPr="00484279">
        <w:t>.  </w:t>
      </w:r>
      <w:r w:rsidR="00484279" w:rsidRPr="00484279">
        <w:t>Having regard to the parties</w:t>
      </w:r>
      <w:r w:rsidR="00BA3D89">
        <w:t>’</w:t>
      </w:r>
      <w:r w:rsidR="00484279" w:rsidRPr="00484279">
        <w:t xml:space="preserve"> submissions</w:t>
      </w:r>
      <w:r w:rsidR="00E2537E">
        <w:t>,</w:t>
      </w:r>
      <w:r w:rsidR="00484279" w:rsidRPr="00484279">
        <w:t xml:space="preserve"> th</w:t>
      </w:r>
      <w:r w:rsidR="00BD2CED">
        <w:t>e</w:t>
      </w:r>
      <w:r w:rsidR="00484279" w:rsidRPr="00484279">
        <w:t xml:space="preserve"> Court is satisfied that </w:t>
      </w:r>
      <w:r w:rsidR="00484279">
        <w:t>the conditions of the applicants</w:t>
      </w:r>
      <w:r w:rsidR="00BA3D89">
        <w:t>’</w:t>
      </w:r>
      <w:r w:rsidR="00484279">
        <w:t xml:space="preserve"> detention at the Kaluga detention ce</w:t>
      </w:r>
      <w:r w:rsidR="00BD2CED">
        <w:t xml:space="preserve">ntre corresponded to the description contained in the </w:t>
      </w:r>
      <w:r w:rsidR="00F34C8B">
        <w:t>Government</w:t>
      </w:r>
      <w:r w:rsidR="00BA3D89">
        <w:t>’</w:t>
      </w:r>
      <w:r w:rsidR="00F34C8B">
        <w:t>s</w:t>
      </w:r>
      <w:r w:rsidR="00BD2CED">
        <w:t xml:space="preserve"> submissions (see paragraph </w:t>
      </w:r>
      <w:r w:rsidR="00BD2CED" w:rsidRPr="00AE268D">
        <w:t>129</w:t>
      </w:r>
      <w:r w:rsidR="00BD2CED">
        <w:t xml:space="preserve"> above). </w:t>
      </w:r>
      <w:r w:rsidR="00BD2CED" w:rsidRPr="00E83AD8">
        <w:t xml:space="preserve">Taking into account the cumulative effect of those </w:t>
      </w:r>
      <w:r w:rsidR="003C1523" w:rsidRPr="00E83AD8">
        <w:t>elements</w:t>
      </w:r>
      <w:r w:rsidR="00BD2CED" w:rsidRPr="00E83AD8">
        <w:t xml:space="preserve">, </w:t>
      </w:r>
      <w:r w:rsidR="003C1523" w:rsidRPr="00E83AD8">
        <w:t xml:space="preserve">it does not appear that </w:t>
      </w:r>
      <w:r w:rsidR="00BD2CED" w:rsidRPr="00E83AD8">
        <w:t xml:space="preserve">the </w:t>
      </w:r>
      <w:r w:rsidR="003C1523" w:rsidRPr="00E83AD8">
        <w:t xml:space="preserve">material </w:t>
      </w:r>
      <w:r w:rsidR="00BD2CED" w:rsidRPr="00E83AD8">
        <w:t>conditions of the applicants</w:t>
      </w:r>
      <w:r w:rsidR="00BA3D89">
        <w:t>’</w:t>
      </w:r>
      <w:r w:rsidR="00BD2CED" w:rsidRPr="00E83AD8">
        <w:t xml:space="preserve"> detention </w:t>
      </w:r>
      <w:r w:rsidR="003C1523" w:rsidRPr="00E83AD8">
        <w:t>could</w:t>
      </w:r>
      <w:r w:rsidR="00BD2CED" w:rsidRPr="00E83AD8">
        <w:t xml:space="preserve"> be regarded as inhuman or degrading.</w:t>
      </w:r>
    </w:p>
    <w:p w:rsidR="009E1BDD" w:rsidRDefault="003C1523" w:rsidP="00AE268D">
      <w:pPr>
        <w:pStyle w:val="ECHRPara"/>
      </w:pPr>
      <w:r>
        <w:fldChar w:fldCharType="begin"/>
      </w:r>
      <w:r>
        <w:instrText xml:space="preserve"> SEQ level0 \*arabic </w:instrText>
      </w:r>
      <w:r>
        <w:fldChar w:fldCharType="separate"/>
      </w:r>
      <w:r w:rsidR="00D21AD2">
        <w:rPr>
          <w:noProof/>
        </w:rPr>
        <w:t>134</w:t>
      </w:r>
      <w:r>
        <w:fldChar w:fldCharType="end"/>
      </w:r>
      <w:r>
        <w:t xml:space="preserve">.  In so far as the applicants complained </w:t>
      </w:r>
      <w:r w:rsidR="003941D5">
        <w:t>of</w:t>
      </w:r>
      <w:r>
        <w:t xml:space="preserve"> ill-treatment and verbal abuse by the centre guards, the Court notes that the information about two such incidents </w:t>
      </w:r>
      <w:r w:rsidR="00E2537E">
        <w:t>in</w:t>
      </w:r>
      <w:r>
        <w:t xml:space="preserve"> August 2014 had been raised by L.M. and </w:t>
      </w:r>
      <w:r w:rsidR="00807B20">
        <w:t>M.A.</w:t>
      </w:r>
      <w:r>
        <w:t xml:space="preserve"> on 17</w:t>
      </w:r>
      <w:r w:rsidR="002F3277">
        <w:t> </w:t>
      </w:r>
      <w:r>
        <w:t xml:space="preserve">December 2014 </w:t>
      </w:r>
      <w:r w:rsidR="007E1797">
        <w:t>during meetings with the</w:t>
      </w:r>
      <w:r w:rsidR="00E2537E">
        <w:t>ir</w:t>
      </w:r>
      <w:r w:rsidR="007E1797">
        <w:t xml:space="preserve"> representatives </w:t>
      </w:r>
      <w:r>
        <w:t xml:space="preserve">(see </w:t>
      </w:r>
      <w:r w:rsidR="0030543C">
        <w:t xml:space="preserve">paragraphs </w:t>
      </w:r>
      <w:r w:rsidR="00E83AD8">
        <w:rPr>
          <w:noProof/>
        </w:rPr>
        <w:t>52</w:t>
      </w:r>
      <w:r w:rsidR="0030543C" w:rsidRPr="0030543C">
        <w:t xml:space="preserve"> and </w:t>
      </w:r>
      <w:r w:rsidR="0030543C" w:rsidRPr="00AE268D">
        <w:t>53</w:t>
      </w:r>
      <w:r w:rsidR="00632C7C">
        <w:t xml:space="preserve"> above</w:t>
      </w:r>
      <w:r>
        <w:t>). No further details are available; these statements are not corroborated by any other relevant evidence</w:t>
      </w:r>
      <w:r w:rsidR="007E1797">
        <w:t xml:space="preserve">, </w:t>
      </w:r>
      <w:r w:rsidR="00E2537E">
        <w:t>such as</w:t>
      </w:r>
      <w:r>
        <w:t xml:space="preserve"> complaints to the relevant authorities or medical evidence.</w:t>
      </w:r>
    </w:p>
    <w:p w:rsidR="009E1BDD" w:rsidRDefault="003C1523" w:rsidP="00AE268D">
      <w:pPr>
        <w:pStyle w:val="ECHRPara"/>
      </w:pPr>
      <w:r>
        <w:fldChar w:fldCharType="begin"/>
      </w:r>
      <w:r>
        <w:instrText xml:space="preserve"> SEQ level0 \*arabic </w:instrText>
      </w:r>
      <w:r>
        <w:fldChar w:fldCharType="separate"/>
      </w:r>
      <w:r w:rsidR="00D21AD2">
        <w:rPr>
          <w:noProof/>
        </w:rPr>
        <w:t>135</w:t>
      </w:r>
      <w:r>
        <w:fldChar w:fldCharType="end"/>
      </w:r>
      <w:r>
        <w:t xml:space="preserve">.  In so far as the applicants complained </w:t>
      </w:r>
      <w:r w:rsidR="00E2537E">
        <w:t>of</w:t>
      </w:r>
      <w:r>
        <w:t xml:space="preserve"> </w:t>
      </w:r>
      <w:r w:rsidR="00E2537E">
        <w:t xml:space="preserve">a </w:t>
      </w:r>
      <w:r>
        <w:t xml:space="preserve">lack of medical </w:t>
      </w:r>
      <w:r w:rsidR="00E2537E">
        <w:t>treatment</w:t>
      </w:r>
      <w:r>
        <w:t xml:space="preserve"> which could reach the threshold of treatment in breach of Article</w:t>
      </w:r>
      <w:r w:rsidR="002F3277">
        <w:t> </w:t>
      </w:r>
      <w:r>
        <w:t>3, the Court notes that the medical records submitted by the Government indicate that A.A. and L.M. had sought medical assistance on several occasions and that the administered treatment had led to</w:t>
      </w:r>
      <w:r w:rsidR="003941D5">
        <w:t xml:space="preserve"> an</w:t>
      </w:r>
      <w:r>
        <w:t xml:space="preserve"> improvement </w:t>
      </w:r>
      <w:r w:rsidR="003941D5">
        <w:t>in</w:t>
      </w:r>
      <w:r>
        <w:t xml:space="preserve"> the</w:t>
      </w:r>
      <w:r w:rsidR="003941D5">
        <w:t>ir</w:t>
      </w:r>
      <w:r>
        <w:t xml:space="preserve"> conditions. No medical complaints were raised by</w:t>
      </w:r>
      <w:r w:rsidR="00117413">
        <w:t xml:space="preserve"> the</w:t>
      </w:r>
      <w:r>
        <w:t xml:space="preserve"> applicants in December 2014 or later.</w:t>
      </w:r>
      <w:r w:rsidR="007E1797">
        <w:t xml:space="preserve"> </w:t>
      </w:r>
      <w:r w:rsidR="00117413">
        <w:t>In fact</w:t>
      </w:r>
      <w:r w:rsidR="007E1797">
        <w:t xml:space="preserve">, L.M. indicated that the detention centre </w:t>
      </w:r>
      <w:r w:rsidR="00117413">
        <w:t>had been</w:t>
      </w:r>
      <w:r w:rsidR="007E1797">
        <w:t xml:space="preserve"> staffed with four nurses who had administered </w:t>
      </w:r>
      <w:r w:rsidR="00117413">
        <w:t>treatment</w:t>
      </w:r>
      <w:r w:rsidR="00AF6DAA">
        <w:t xml:space="preserve"> as needed (see paragraphs</w:t>
      </w:r>
      <w:r w:rsidR="007E1797">
        <w:t xml:space="preserve"> </w:t>
      </w:r>
      <w:r w:rsidR="00E83AD8">
        <w:rPr>
          <w:noProof/>
        </w:rPr>
        <w:t>52</w:t>
      </w:r>
      <w:r w:rsidR="0030543C">
        <w:t xml:space="preserve"> </w:t>
      </w:r>
      <w:r w:rsidR="007E1797">
        <w:t xml:space="preserve">and </w:t>
      </w:r>
      <w:r w:rsidR="00E83AD8">
        <w:rPr>
          <w:noProof/>
        </w:rPr>
        <w:t>59</w:t>
      </w:r>
      <w:r w:rsidR="00AF6DAA">
        <w:t xml:space="preserve"> </w:t>
      </w:r>
      <w:r w:rsidR="007E1797">
        <w:t>above).</w:t>
      </w:r>
    </w:p>
    <w:p w:rsidR="00EB38CC" w:rsidRPr="003C1523" w:rsidRDefault="003C1523" w:rsidP="003C1523">
      <w:pPr>
        <w:pStyle w:val="ECHRPara"/>
      </w:pPr>
      <w:r w:rsidRPr="003C1523">
        <w:lastRenderedPageBreak/>
        <w:fldChar w:fldCharType="begin"/>
      </w:r>
      <w:r w:rsidRPr="003C1523">
        <w:instrText xml:space="preserve"> SEQ level0 \*arabic </w:instrText>
      </w:r>
      <w:r w:rsidRPr="003C1523">
        <w:fldChar w:fldCharType="separate"/>
      </w:r>
      <w:r w:rsidR="00D21AD2">
        <w:rPr>
          <w:noProof/>
        </w:rPr>
        <w:t>136</w:t>
      </w:r>
      <w:r w:rsidRPr="003C1523">
        <w:fldChar w:fldCharType="end"/>
      </w:r>
      <w:r w:rsidRPr="003C1523">
        <w:t>.  </w:t>
      </w:r>
      <w:r>
        <w:t>I</w:t>
      </w:r>
      <w:r w:rsidRPr="002451FE">
        <w:t xml:space="preserve">n </w:t>
      </w:r>
      <w:r w:rsidR="007E1797">
        <w:t xml:space="preserve">view of the above and in </w:t>
      </w:r>
      <w:r w:rsidRPr="002451FE">
        <w:t>the light of all the material in its possession, the Court finds that the</w:t>
      </w:r>
      <w:r>
        <w:t xml:space="preserve"> applicants</w:t>
      </w:r>
      <w:r w:rsidR="00BA3D89">
        <w:t>’</w:t>
      </w:r>
      <w:r>
        <w:t xml:space="preserve"> complaint under Article 3 about the conditions of detention</w:t>
      </w:r>
      <w:r w:rsidRPr="002451FE">
        <w:t xml:space="preserve"> do</w:t>
      </w:r>
      <w:r>
        <w:t>es</w:t>
      </w:r>
      <w:r w:rsidRPr="002451FE">
        <w:t xml:space="preserve"> not disclose any appearance of a violation of the rights and freedoms set out in the Convention or its Protocols.</w:t>
      </w:r>
      <w:r>
        <w:t xml:space="preserve"> I</w:t>
      </w:r>
      <w:r w:rsidRPr="002451FE">
        <w:t>t follows that this part of the application is manifestly ill</w:t>
      </w:r>
      <w:r w:rsidR="002F3277">
        <w:noBreakHyphen/>
      </w:r>
      <w:r w:rsidRPr="002451FE">
        <w:t>founded and must be rejected in accordance with Article 35 §§ 3 (a) and 4 of the Convention.</w:t>
      </w:r>
    </w:p>
    <w:p w:rsidR="009E1BDD" w:rsidRDefault="00BA07C3" w:rsidP="00014566">
      <w:pPr>
        <w:pStyle w:val="ECHRHeading1"/>
      </w:pPr>
      <w:r w:rsidRPr="00D66FB5">
        <w:t>IV</w:t>
      </w:r>
      <w:r w:rsidR="00014566" w:rsidRPr="00D66FB5">
        <w:t>.</w:t>
      </w:r>
      <w:proofErr w:type="gramStart"/>
      <w:r w:rsidR="00014566" w:rsidRPr="00D66FB5">
        <w:t>  ALLEGED</w:t>
      </w:r>
      <w:proofErr w:type="gramEnd"/>
      <w:r w:rsidR="00014566" w:rsidRPr="00D66FB5">
        <w:t xml:space="preserve"> VIOLATION OF ARTICLE </w:t>
      </w:r>
      <w:r w:rsidRPr="00D66FB5">
        <w:t xml:space="preserve">5 </w:t>
      </w:r>
      <w:r w:rsidR="00014566" w:rsidRPr="00D66FB5">
        <w:t>OF THE CONVENTION</w:t>
      </w:r>
    </w:p>
    <w:p w:rsidR="00552E86" w:rsidRPr="00484279" w:rsidRDefault="00C94B3B" w:rsidP="00C621C2">
      <w:pPr>
        <w:pStyle w:val="ECHRPara"/>
      </w:pPr>
      <w:r w:rsidRPr="00484279">
        <w:fldChar w:fldCharType="begin"/>
      </w:r>
      <w:r w:rsidRPr="00484279">
        <w:instrText xml:space="preserve"> SEQ level0 \*arabic </w:instrText>
      </w:r>
      <w:r w:rsidRPr="00484279">
        <w:fldChar w:fldCharType="separate"/>
      </w:r>
      <w:r w:rsidR="00D21AD2">
        <w:rPr>
          <w:noProof/>
        </w:rPr>
        <w:t>137</w:t>
      </w:r>
      <w:r w:rsidRPr="00484279">
        <w:fldChar w:fldCharType="end"/>
      </w:r>
      <w:r w:rsidR="00014566" w:rsidRPr="00484279">
        <w:t>.  The applicant</w:t>
      </w:r>
      <w:r w:rsidRPr="00484279">
        <w:t>s</w:t>
      </w:r>
      <w:r w:rsidR="00014566" w:rsidRPr="00484279">
        <w:t xml:space="preserve"> complained of a violation of </w:t>
      </w:r>
      <w:r w:rsidR="00552E86" w:rsidRPr="00484279">
        <w:t>Article 5 § 1 (f) and</w:t>
      </w:r>
      <w:r w:rsidR="00943B86">
        <w:t> </w:t>
      </w:r>
      <w:r w:rsidR="00552E86" w:rsidRPr="00484279">
        <w:t>5 § 4.</w:t>
      </w:r>
      <w:r w:rsidR="00014566" w:rsidRPr="00484279">
        <w:t xml:space="preserve"> </w:t>
      </w:r>
      <w:r w:rsidR="00552E86" w:rsidRPr="00484279">
        <w:t>Article 5</w:t>
      </w:r>
      <w:r w:rsidR="00014566" w:rsidRPr="00484279">
        <w:t xml:space="preserve"> of the Convention</w:t>
      </w:r>
      <w:r w:rsidR="00552E86" w:rsidRPr="00484279">
        <w:t xml:space="preserve"> reads as follows, where relevant:</w:t>
      </w:r>
    </w:p>
    <w:p w:rsidR="00552E86" w:rsidRPr="00552E86" w:rsidRDefault="00943B86" w:rsidP="00943B86">
      <w:pPr>
        <w:pStyle w:val="ECHRParaQuote"/>
      </w:pPr>
      <w:r>
        <w:t>“1.</w:t>
      </w:r>
      <w:proofErr w:type="gramStart"/>
      <w:r>
        <w:t>  </w:t>
      </w:r>
      <w:r w:rsidR="00552E86" w:rsidRPr="00484279">
        <w:t>Everyone</w:t>
      </w:r>
      <w:proofErr w:type="gramEnd"/>
      <w:r w:rsidR="00552E86" w:rsidRPr="00484279">
        <w:t xml:space="preserve"> has the right to liberty and security of person. No one shall be </w:t>
      </w:r>
      <w:r w:rsidR="00552E86" w:rsidRPr="00552E86">
        <w:t>deprived of his liberty save in the following cases and in accordance with a procedure prescribed by law:</w:t>
      </w:r>
    </w:p>
    <w:p w:rsidR="00552E86" w:rsidRPr="00552E86" w:rsidRDefault="00552E86" w:rsidP="00943B86">
      <w:pPr>
        <w:pStyle w:val="ECHRParaQuote"/>
      </w:pPr>
      <w:r w:rsidRPr="00552E86">
        <w:t>...</w:t>
      </w:r>
    </w:p>
    <w:p w:rsidR="00552E86" w:rsidRPr="00552E86" w:rsidRDefault="00943B86" w:rsidP="00134A95">
      <w:pPr>
        <w:pStyle w:val="JuQuotSub"/>
      </w:pPr>
      <w:r>
        <w:t>(f)  </w:t>
      </w:r>
      <w:proofErr w:type="gramStart"/>
      <w:r w:rsidR="00552E86" w:rsidRPr="00552E86">
        <w:t>the</w:t>
      </w:r>
      <w:proofErr w:type="gramEnd"/>
      <w:r w:rsidR="00552E86" w:rsidRPr="00552E86">
        <w:t xml:space="preserve"> lawful arrest or detention of a person to prevent his effecting an unauthorised entry into the country or of a person against whom action is being taken with a view to deportation or extradition.</w:t>
      </w:r>
    </w:p>
    <w:p w:rsidR="00552E86" w:rsidRPr="00552E86" w:rsidRDefault="00552E86" w:rsidP="00943B86">
      <w:pPr>
        <w:pStyle w:val="ECHRParaQuote"/>
      </w:pPr>
      <w:r w:rsidRPr="00552E86">
        <w:t>...</w:t>
      </w:r>
    </w:p>
    <w:p w:rsidR="00552E86" w:rsidRPr="00552E86" w:rsidRDefault="00943B86" w:rsidP="00943B86">
      <w:pPr>
        <w:pStyle w:val="ECHRParaQuote"/>
      </w:pPr>
      <w:r>
        <w:t>4.  </w:t>
      </w:r>
      <w:r w:rsidR="00552E86" w:rsidRPr="00552E86">
        <w:t>Everyone who is deprived of his liberty by arrest or detention shall be entitled to take proceedings by which the lawfulness of his detention shall be decided speedily by a court and his release ordered if the detention is not lawful. ...”</w:t>
      </w:r>
    </w:p>
    <w:p w:rsidR="00552E86" w:rsidRDefault="002F3277" w:rsidP="00552E86">
      <w:pPr>
        <w:pStyle w:val="ECHRHeading2"/>
      </w:pPr>
      <w:r>
        <w:t>A.  </w:t>
      </w:r>
      <w:r w:rsidR="00552E86">
        <w:t>Admissibility</w:t>
      </w:r>
    </w:p>
    <w:p w:rsidR="00552E86" w:rsidRDefault="00552E86" w:rsidP="00552E86">
      <w:pPr>
        <w:pStyle w:val="ECHRPara"/>
      </w:pPr>
      <w:r>
        <w:fldChar w:fldCharType="begin"/>
      </w:r>
      <w:r>
        <w:instrText xml:space="preserve"> SEQ level0 \*arabic </w:instrText>
      </w:r>
      <w:r>
        <w:fldChar w:fldCharType="separate"/>
      </w:r>
      <w:r w:rsidR="00D21AD2">
        <w:rPr>
          <w:noProof/>
        </w:rPr>
        <w:t>138</w:t>
      </w:r>
      <w:r>
        <w:fldChar w:fldCharType="end"/>
      </w:r>
      <w:r w:rsidRPr="00E83AD8">
        <w:t xml:space="preserve">.  The Court notes that this </w:t>
      </w:r>
      <w:r w:rsidRPr="00552E86">
        <w:t>part</w:t>
      </w:r>
      <w:r w:rsidRPr="00E83AD8">
        <w:t xml:space="preserve"> of the application is not manifestly ill-founded within the meaning of Article 35 § 3 (a) of the Convention. It further notes that it is not inadmissible on any other grounds. It must therefore be declared admissible.</w:t>
      </w:r>
    </w:p>
    <w:p w:rsidR="00552E86" w:rsidRDefault="002F3277" w:rsidP="00552E86">
      <w:pPr>
        <w:pStyle w:val="ECHRHeading2"/>
      </w:pPr>
      <w:r>
        <w:t>B.  </w:t>
      </w:r>
      <w:r w:rsidR="00552E86">
        <w:t>Merits</w:t>
      </w:r>
    </w:p>
    <w:p w:rsidR="00552E86" w:rsidRPr="007C38E8" w:rsidRDefault="00552E86" w:rsidP="00552E86">
      <w:pPr>
        <w:pStyle w:val="ECHRPara"/>
        <w:rPr>
          <w:i/>
        </w:rPr>
      </w:pPr>
      <w:r>
        <w:fldChar w:fldCharType="begin"/>
      </w:r>
      <w:r>
        <w:instrText xml:space="preserve"> SEQ level0 \*arabic </w:instrText>
      </w:r>
      <w:r>
        <w:fldChar w:fldCharType="separate"/>
      </w:r>
      <w:r w:rsidR="00D21AD2">
        <w:rPr>
          <w:noProof/>
        </w:rPr>
        <w:t>139</w:t>
      </w:r>
      <w:r>
        <w:fldChar w:fldCharType="end"/>
      </w:r>
      <w:r w:rsidRPr="00E83AD8">
        <w:t>.  The Court will consider firstly whether the possibility of effective supervision over the applicants</w:t>
      </w:r>
      <w:r w:rsidR="00BA3D89">
        <w:t>’</w:t>
      </w:r>
      <w:r w:rsidRPr="00E83AD8">
        <w:t xml:space="preserve"> detention </w:t>
      </w:r>
      <w:r w:rsidR="00986709" w:rsidRPr="00E83AD8">
        <w:t xml:space="preserve">existed </w:t>
      </w:r>
      <w:r w:rsidRPr="00E83AD8">
        <w:t>and</w:t>
      </w:r>
      <w:r w:rsidR="00986709" w:rsidRPr="00E83AD8">
        <w:t>,</w:t>
      </w:r>
      <w:r w:rsidRPr="00E83AD8">
        <w:t xml:space="preserve"> secondly</w:t>
      </w:r>
      <w:r w:rsidR="00986709" w:rsidRPr="00E83AD8">
        <w:t>,</w:t>
      </w:r>
      <w:r w:rsidRPr="00E83AD8">
        <w:t xml:space="preserve"> whether the</w:t>
      </w:r>
      <w:r w:rsidR="00D66FB5" w:rsidRPr="00E83AD8">
        <w:t>ir</w:t>
      </w:r>
      <w:r w:rsidRPr="00E83AD8">
        <w:t xml:space="preserve"> detention was compatible with the requirements of Article 5 § 1 (f) (see </w:t>
      </w:r>
      <w:r w:rsidRPr="00552E86">
        <w:rPr>
          <w:i/>
        </w:rPr>
        <w:t>Kim</w:t>
      </w:r>
      <w:r w:rsidRPr="00E83AD8">
        <w:t xml:space="preserve">, </w:t>
      </w:r>
      <w:r w:rsidR="00632C7C" w:rsidRPr="00E83AD8">
        <w:t>cited above, § 38</w:t>
      </w:r>
      <w:r w:rsidRPr="00E83AD8">
        <w:t xml:space="preserve">, and </w:t>
      </w:r>
      <w:proofErr w:type="spellStart"/>
      <w:r w:rsidR="007C38E8" w:rsidRPr="00B668D2">
        <w:rPr>
          <w:i/>
        </w:rPr>
        <w:t>Azimov</w:t>
      </w:r>
      <w:proofErr w:type="spellEnd"/>
      <w:r w:rsidR="007C38E8" w:rsidRPr="00B668D2">
        <w:rPr>
          <w:i/>
        </w:rPr>
        <w:t xml:space="preserve"> v. Russia</w:t>
      </w:r>
      <w:r w:rsidR="007C38E8" w:rsidRPr="00B668D2">
        <w:t>,</w:t>
      </w:r>
      <w:r w:rsidR="00632C7C">
        <w:t xml:space="preserve"> no. </w:t>
      </w:r>
      <w:r w:rsidR="007C38E8" w:rsidRPr="00B668D2">
        <w:t>67474/11</w:t>
      </w:r>
      <w:r w:rsidR="007C38E8">
        <w:rPr>
          <w:snapToGrid w:val="0"/>
        </w:rPr>
        <w:t xml:space="preserve">, </w:t>
      </w:r>
      <w:r w:rsidR="007C38E8" w:rsidRPr="00E83AD8">
        <w:t>§</w:t>
      </w:r>
      <w:r w:rsidR="00323EC8" w:rsidRPr="00E83AD8">
        <w:t>§</w:t>
      </w:r>
      <w:r w:rsidR="007C38E8" w:rsidRPr="00E83AD8">
        <w:t xml:space="preserve"> 146 et seq</w:t>
      </w:r>
      <w:r w:rsidR="00D66FB5">
        <w:rPr>
          <w:snapToGrid w:val="0"/>
        </w:rPr>
        <w:t>.</w:t>
      </w:r>
      <w:r w:rsidR="007C38E8" w:rsidRPr="00B668D2">
        <w:rPr>
          <w:snapToGrid w:val="0"/>
        </w:rPr>
        <w:t>, 18 April 2013</w:t>
      </w:r>
      <w:r w:rsidRPr="00E83AD8">
        <w:t>)</w:t>
      </w:r>
      <w:r w:rsidR="007C38E8" w:rsidRPr="00E83AD8">
        <w:t>.</w:t>
      </w:r>
    </w:p>
    <w:p w:rsidR="00552E86" w:rsidRPr="00E83AD8" w:rsidRDefault="002F3277" w:rsidP="00E83AD8">
      <w:pPr>
        <w:pStyle w:val="ECHRHeading3"/>
      </w:pPr>
      <w:r w:rsidRPr="00E83AD8">
        <w:t>1.  </w:t>
      </w:r>
      <w:r w:rsidR="00552E86" w:rsidRPr="00E83AD8">
        <w:t>Compliance with Article 5 § 4 of the Convention</w:t>
      </w:r>
    </w:p>
    <w:p w:rsidR="009E1BDD" w:rsidRDefault="00761951" w:rsidP="00E83AD8">
      <w:pPr>
        <w:pStyle w:val="ECHRPara"/>
      </w:pPr>
      <w:r>
        <w:fldChar w:fldCharType="begin"/>
      </w:r>
      <w:r>
        <w:instrText xml:space="preserve"> SEQ level0 \*arabic </w:instrText>
      </w:r>
      <w:r>
        <w:fldChar w:fldCharType="separate"/>
      </w:r>
      <w:r w:rsidR="00D21AD2">
        <w:rPr>
          <w:noProof/>
        </w:rPr>
        <w:t>140</w:t>
      </w:r>
      <w:r>
        <w:fldChar w:fldCharType="end"/>
      </w:r>
      <w:r>
        <w:t>.  The applicants stressed that they had no access to effective judicial review of their continued detention. The Government disputed that argument.</w:t>
      </w:r>
    </w:p>
    <w:p w:rsidR="00BA07C3" w:rsidRPr="00632C7C" w:rsidRDefault="007C38E8" w:rsidP="00E83AD8">
      <w:pPr>
        <w:pStyle w:val="ECHRPara"/>
        <w:rPr>
          <w:i/>
        </w:rPr>
      </w:pPr>
      <w:r>
        <w:lastRenderedPageBreak/>
        <w:fldChar w:fldCharType="begin"/>
      </w:r>
      <w:r>
        <w:instrText xml:space="preserve"> SEQ level0 \*arabic </w:instrText>
      </w:r>
      <w:r>
        <w:fldChar w:fldCharType="separate"/>
      </w:r>
      <w:r w:rsidR="00D21AD2">
        <w:rPr>
          <w:noProof/>
        </w:rPr>
        <w:t>141</w:t>
      </w:r>
      <w:r>
        <w:fldChar w:fldCharType="end"/>
      </w:r>
      <w:r>
        <w:t>.  </w:t>
      </w:r>
      <w:r w:rsidR="00BA07C3" w:rsidRPr="00BA07C3">
        <w:t xml:space="preserve">The Court reiterates that, since its </w:t>
      </w:r>
      <w:proofErr w:type="spellStart"/>
      <w:r w:rsidR="00BA07C3" w:rsidRPr="00D5412A">
        <w:rPr>
          <w:i/>
        </w:rPr>
        <w:t>Azimov</w:t>
      </w:r>
      <w:proofErr w:type="spellEnd"/>
      <w:r w:rsidR="00BA07C3" w:rsidRPr="00BA07C3">
        <w:t xml:space="preserve"> judgment, which concerned a similar complaint (cited above, § 153), it has found a violation of Article 5 § 4 in a number of cases against Russia on account of the absence of any </w:t>
      </w:r>
      <w:r w:rsidR="00BA07C3" w:rsidRPr="00E83AD8">
        <w:t>domestic</w:t>
      </w:r>
      <w:r w:rsidR="00BA07C3" w:rsidRPr="00BA07C3">
        <w:t xml:space="preserve"> legal provision which could have allowed </w:t>
      </w:r>
      <w:r w:rsidR="00D66FB5">
        <w:t>an</w:t>
      </w:r>
      <w:r w:rsidR="00BA07C3" w:rsidRPr="00BA07C3">
        <w:t xml:space="preserve"> applicant to bring proceedings for </w:t>
      </w:r>
      <w:r w:rsidR="00D66FB5">
        <w:t xml:space="preserve">a </w:t>
      </w:r>
      <w:r w:rsidR="00BA07C3" w:rsidRPr="00BA07C3">
        <w:t xml:space="preserve">judicial review of his detention pending expulsion (see </w:t>
      </w:r>
      <w:r w:rsidR="00BA07C3" w:rsidRPr="003C78B9">
        <w:rPr>
          <w:i/>
        </w:rPr>
        <w:t>Kim</w:t>
      </w:r>
      <w:r w:rsidR="00BA07C3" w:rsidRPr="00BA07C3">
        <w:t>, §§ 39-43</w:t>
      </w:r>
      <w:r w:rsidR="00D66FB5">
        <w:t>, and</w:t>
      </w:r>
      <w:r w:rsidR="00BA07C3" w:rsidRPr="00BA07C3">
        <w:t xml:space="preserve"> </w:t>
      </w:r>
      <w:proofErr w:type="spellStart"/>
      <w:r w:rsidR="00BA07C3" w:rsidRPr="003C78B9">
        <w:rPr>
          <w:i/>
        </w:rPr>
        <w:t>Rakhimov</w:t>
      </w:r>
      <w:proofErr w:type="spellEnd"/>
      <w:r w:rsidR="00BA787E">
        <w:t>, §§ 148-</w:t>
      </w:r>
      <w:r w:rsidR="00BA07C3" w:rsidRPr="00BA07C3">
        <w:t>50</w:t>
      </w:r>
      <w:r w:rsidR="00D66FB5">
        <w:t>, both cited above</w:t>
      </w:r>
      <w:r w:rsidR="00BA07C3" w:rsidRPr="00BA07C3">
        <w:t xml:space="preserve">; </w:t>
      </w:r>
      <w:proofErr w:type="spellStart"/>
      <w:r w:rsidR="00632C7C">
        <w:rPr>
          <w:i/>
        </w:rPr>
        <w:t>Akram</w:t>
      </w:r>
      <w:proofErr w:type="spellEnd"/>
      <w:r w:rsidR="00632C7C">
        <w:rPr>
          <w:i/>
        </w:rPr>
        <w:t xml:space="preserve"> </w:t>
      </w:r>
      <w:proofErr w:type="spellStart"/>
      <w:r w:rsidR="00632C7C">
        <w:rPr>
          <w:i/>
        </w:rPr>
        <w:t>Karimov</w:t>
      </w:r>
      <w:proofErr w:type="spellEnd"/>
      <w:r w:rsidR="00632C7C">
        <w:t xml:space="preserve"> </w:t>
      </w:r>
      <w:r w:rsidR="00632C7C" w:rsidRPr="00AE1F0F">
        <w:rPr>
          <w:i/>
          <w:snapToGrid w:val="0"/>
        </w:rPr>
        <w:t>v. Russia</w:t>
      </w:r>
      <w:r w:rsidR="00632C7C" w:rsidRPr="00AE1F0F">
        <w:rPr>
          <w:snapToGrid w:val="0"/>
        </w:rPr>
        <w:t xml:space="preserve">, </w:t>
      </w:r>
      <w:r w:rsidR="00632C7C" w:rsidRPr="00AE1F0F">
        <w:t>no. 62892/12</w:t>
      </w:r>
      <w:r w:rsidR="00632C7C">
        <w:rPr>
          <w:snapToGrid w:val="0"/>
          <w:color w:val="000000"/>
        </w:rPr>
        <w:t xml:space="preserve">, </w:t>
      </w:r>
      <w:r w:rsidR="00632C7C" w:rsidRPr="00BA07C3">
        <w:t>§§ 199-204</w:t>
      </w:r>
      <w:r w:rsidR="00632C7C">
        <w:rPr>
          <w:snapToGrid w:val="0"/>
          <w:color w:val="000000"/>
        </w:rPr>
        <w:t>, 28 May 2014</w:t>
      </w:r>
      <w:r w:rsidR="00BA07C3" w:rsidRPr="00BA07C3">
        <w:t xml:space="preserve">; and also </w:t>
      </w:r>
      <w:proofErr w:type="spellStart"/>
      <w:r w:rsidR="00BA07C3" w:rsidRPr="003C78B9">
        <w:rPr>
          <w:i/>
        </w:rPr>
        <w:t>Egamberdiyev</w:t>
      </w:r>
      <w:proofErr w:type="spellEnd"/>
      <w:r w:rsidR="00BA07C3" w:rsidRPr="00BA07C3">
        <w:t xml:space="preserve">, cited above, § 64). In the </w:t>
      </w:r>
      <w:r w:rsidR="00BA07C3" w:rsidRPr="00DA5CB8">
        <w:rPr>
          <w:i/>
        </w:rPr>
        <w:t>Kim</w:t>
      </w:r>
      <w:r w:rsidR="00BA07C3" w:rsidRPr="00BA07C3">
        <w:t xml:space="preserve"> case, the Government acknowledged a violation of Article 5 § 4 and, having regard to the recurrent nature of the violation, the Court directed that the Russian authorities should “secure in [their] domestic legal order a mechanism which allows individuals to institute proceedings for the examination of the lawfulness of their detention pending removal in the light of the developments in the removal proceedings” (cited above, § 71).</w:t>
      </w:r>
    </w:p>
    <w:p w:rsidR="00BA07C3" w:rsidRDefault="007C38E8" w:rsidP="00BA07C3">
      <w:pPr>
        <w:pStyle w:val="ECHRPara"/>
      </w:pPr>
      <w:r>
        <w:fldChar w:fldCharType="begin"/>
      </w:r>
      <w:r>
        <w:instrText xml:space="preserve"> SEQ level0 \*arabic </w:instrText>
      </w:r>
      <w:r>
        <w:fldChar w:fldCharType="separate"/>
      </w:r>
      <w:r w:rsidR="00D21AD2">
        <w:rPr>
          <w:noProof/>
        </w:rPr>
        <w:t>142</w:t>
      </w:r>
      <w:r>
        <w:fldChar w:fldCharType="end"/>
      </w:r>
      <w:r>
        <w:t>.  </w:t>
      </w:r>
      <w:r w:rsidR="00BA07C3" w:rsidRPr="00BA07C3">
        <w:t xml:space="preserve">As </w:t>
      </w:r>
      <w:r w:rsidR="003C78B9">
        <w:t xml:space="preserve">in the above cases, </w:t>
      </w:r>
      <w:r w:rsidR="00BA07C3" w:rsidRPr="00BA07C3">
        <w:t>the applicant</w:t>
      </w:r>
      <w:r w:rsidR="003C78B9">
        <w:t xml:space="preserve">s in the present case </w:t>
      </w:r>
      <w:r w:rsidR="00D66FB5">
        <w:t>did</w:t>
      </w:r>
      <w:r w:rsidR="00BA07C3" w:rsidRPr="00BA07C3">
        <w:t xml:space="preserve"> not ha</w:t>
      </w:r>
      <w:r w:rsidR="00D66FB5">
        <w:t>ve</w:t>
      </w:r>
      <w:r w:rsidR="00BA07C3" w:rsidRPr="00BA07C3">
        <w:t xml:space="preserve"> at </w:t>
      </w:r>
      <w:r w:rsidR="003C78B9">
        <w:t>their</w:t>
      </w:r>
      <w:r w:rsidR="00BA07C3" w:rsidRPr="00BA07C3">
        <w:t xml:space="preserve"> disposal a procedure for a judicial review of the lawfulness of</w:t>
      </w:r>
      <w:r w:rsidR="00D66FB5">
        <w:t xml:space="preserve"> their</w:t>
      </w:r>
      <w:r w:rsidR="00BA07C3" w:rsidRPr="00BA07C3">
        <w:t xml:space="preserve"> detention</w:t>
      </w:r>
      <w:r w:rsidR="003C78B9">
        <w:t>. Accordingly,</w:t>
      </w:r>
      <w:r w:rsidR="00BA07C3" w:rsidRPr="00BA07C3">
        <w:t xml:space="preserve"> the Court finds that there has been a violation of Article 5 § 4 of the Convention</w:t>
      </w:r>
      <w:r w:rsidR="003C78B9">
        <w:t xml:space="preserve"> in respect of </w:t>
      </w:r>
      <w:r w:rsidR="00D66FB5">
        <w:t>all</w:t>
      </w:r>
      <w:r w:rsidR="003C78B9">
        <w:t xml:space="preserve"> three </w:t>
      </w:r>
      <w:r w:rsidR="00205446">
        <w:t>of them</w:t>
      </w:r>
      <w:r w:rsidR="00BA07C3" w:rsidRPr="00BA07C3">
        <w:t>.</w:t>
      </w:r>
    </w:p>
    <w:p w:rsidR="00915D90" w:rsidRPr="00915D90" w:rsidRDefault="002F3277" w:rsidP="007C38E8">
      <w:pPr>
        <w:pStyle w:val="ECHRHeading3"/>
      </w:pPr>
      <w:r>
        <w:t>2.  </w:t>
      </w:r>
      <w:r w:rsidR="00915D90" w:rsidRPr="00915D90">
        <w:t>Compliance with Article 5 § 1 (f) of the Convention</w:t>
      </w:r>
    </w:p>
    <w:p w:rsidR="00915D90" w:rsidRPr="00915D90" w:rsidRDefault="002F3277" w:rsidP="007C38E8">
      <w:pPr>
        <w:pStyle w:val="ECHRHeading4"/>
      </w:pPr>
      <w:r>
        <w:t>(a)  </w:t>
      </w:r>
      <w:r w:rsidR="00915D90" w:rsidRPr="00915D90">
        <w:t>The parties</w:t>
      </w:r>
      <w:r w:rsidR="00BA3D89">
        <w:t>’</w:t>
      </w:r>
      <w:r w:rsidR="00915D90" w:rsidRPr="00915D90">
        <w:t xml:space="preserve"> submissions</w:t>
      </w:r>
    </w:p>
    <w:p w:rsidR="009E1BDD" w:rsidRDefault="007C38E8" w:rsidP="007C38E8">
      <w:pPr>
        <w:pStyle w:val="ECHRPara"/>
      </w:pPr>
      <w:r>
        <w:fldChar w:fldCharType="begin"/>
      </w:r>
      <w:r>
        <w:instrText xml:space="preserve"> SEQ level0 \*arabic </w:instrText>
      </w:r>
      <w:r>
        <w:fldChar w:fldCharType="separate"/>
      </w:r>
      <w:r w:rsidR="00D21AD2">
        <w:rPr>
          <w:noProof/>
        </w:rPr>
        <w:t>143</w:t>
      </w:r>
      <w:r>
        <w:fldChar w:fldCharType="end"/>
      </w:r>
      <w:r>
        <w:t>.  </w:t>
      </w:r>
      <w:r w:rsidR="00915D90" w:rsidRPr="00915D90">
        <w:t xml:space="preserve">The Government </w:t>
      </w:r>
      <w:r>
        <w:t xml:space="preserve">disputed the allegations. They were of the opinion that since the expulsion order remained valid, but was only temporarily stopped through the application of interim measures by the Court, the authorities </w:t>
      </w:r>
      <w:r w:rsidR="00AA0908">
        <w:t xml:space="preserve">still had </w:t>
      </w:r>
      <w:r w:rsidR="00AF1D5D">
        <w:t>lawful</w:t>
      </w:r>
      <w:r w:rsidR="00AA0908">
        <w:t xml:space="preserve"> grounds to detain the applicants pending expulsion. They pointed out that the applicants</w:t>
      </w:r>
      <w:r w:rsidR="00BA3D89">
        <w:t>’</w:t>
      </w:r>
      <w:r w:rsidR="00AA0908">
        <w:t xml:space="preserve"> illegal residence in Russia </w:t>
      </w:r>
      <w:r w:rsidR="00205446">
        <w:t xml:space="preserve">was </w:t>
      </w:r>
      <w:r w:rsidR="00AA0908">
        <w:t xml:space="preserve">weighted </w:t>
      </w:r>
      <w:r w:rsidR="00205446">
        <w:t>towards</w:t>
      </w:r>
      <w:r w:rsidR="00AA0908">
        <w:t xml:space="preserve"> maintaining detention as a measure to ensure compliance with the domestic court order. They also pointed out that the relevant provisions of the Code of Administrative Offences </w:t>
      </w:r>
      <w:r w:rsidR="00676A87">
        <w:t>did not allow for another measure of restraint</w:t>
      </w:r>
      <w:r w:rsidR="00254B1F">
        <w:t>,</w:t>
      </w:r>
      <w:r w:rsidR="00676A87">
        <w:t xml:space="preserve"> and</w:t>
      </w:r>
      <w:r w:rsidR="00254B1F">
        <w:t xml:space="preserve"> that</w:t>
      </w:r>
      <w:r w:rsidR="00676A87">
        <w:t xml:space="preserve"> there were </w:t>
      </w:r>
      <w:r w:rsidR="00205446">
        <w:t xml:space="preserve">therefore </w:t>
      </w:r>
      <w:r w:rsidR="00676A87">
        <w:t>no grounds for the applicants</w:t>
      </w:r>
      <w:r w:rsidR="00BA3D89">
        <w:t>’</w:t>
      </w:r>
      <w:r w:rsidR="00676A87">
        <w:t xml:space="preserve"> release while the expulsion order remained in force </w:t>
      </w:r>
      <w:r w:rsidR="00AA0908">
        <w:t xml:space="preserve">(see paragraph </w:t>
      </w:r>
      <w:r w:rsidR="00E83AD8">
        <w:rPr>
          <w:noProof/>
        </w:rPr>
        <w:t>62</w:t>
      </w:r>
      <w:r w:rsidR="00E00FA3">
        <w:t xml:space="preserve"> </w:t>
      </w:r>
      <w:r w:rsidR="00AA0908">
        <w:t xml:space="preserve">above). </w:t>
      </w:r>
      <w:r w:rsidR="00676A87">
        <w:t>The Government were of the opinion that while no time-limit for the applicants</w:t>
      </w:r>
      <w:r w:rsidR="00BA3D89">
        <w:t>’</w:t>
      </w:r>
      <w:r w:rsidR="00676A87">
        <w:t xml:space="preserve"> detention had been stipulated, the maximum term of enforcement of an administrative penalty </w:t>
      </w:r>
      <w:r w:rsidR="00205446">
        <w:t>was</w:t>
      </w:r>
      <w:r w:rsidR="00676A87">
        <w:t xml:space="preserve"> two years. The applicants were able to seek </w:t>
      </w:r>
      <w:r w:rsidR="00205446">
        <w:t xml:space="preserve">a </w:t>
      </w:r>
      <w:r w:rsidR="00676A87">
        <w:t>supervisory review of the expulsion and ensuing detention orders if there was a significant change in their circumstances.</w:t>
      </w:r>
    </w:p>
    <w:p w:rsidR="00915D90" w:rsidRPr="00915D90" w:rsidRDefault="00676A87" w:rsidP="00915D90">
      <w:pPr>
        <w:pStyle w:val="ECHRPara"/>
      </w:pPr>
      <w:r>
        <w:fldChar w:fldCharType="begin"/>
      </w:r>
      <w:r>
        <w:instrText xml:space="preserve"> SEQ level0 \*arabic </w:instrText>
      </w:r>
      <w:r>
        <w:fldChar w:fldCharType="separate"/>
      </w:r>
      <w:r w:rsidR="00D21AD2">
        <w:rPr>
          <w:noProof/>
        </w:rPr>
        <w:t>144</w:t>
      </w:r>
      <w:r>
        <w:fldChar w:fldCharType="end"/>
      </w:r>
      <w:r>
        <w:t>.  </w:t>
      </w:r>
      <w:r w:rsidR="00915D90" w:rsidRPr="00915D90">
        <w:t>The applicant</w:t>
      </w:r>
      <w:r>
        <w:t>s</w:t>
      </w:r>
      <w:r w:rsidR="00915D90" w:rsidRPr="00915D90">
        <w:t xml:space="preserve"> </w:t>
      </w:r>
      <w:r w:rsidR="00AF1D5D">
        <w:t xml:space="preserve">stressed that the court decisions did not stipulate the maximum length of </w:t>
      </w:r>
      <w:r w:rsidR="00205446">
        <w:t>this</w:t>
      </w:r>
      <w:r w:rsidR="00AF1D5D">
        <w:t xml:space="preserve"> detention</w:t>
      </w:r>
      <w:r w:rsidR="00915D90" w:rsidRPr="00915D90">
        <w:t>. Other than the requirement that the expulsion order be executed within the two-year time-limit, the Code of Administrative Offences did not contain any provisions governing the length of detention pending expulsion</w:t>
      </w:r>
      <w:r w:rsidR="00AF1D5D">
        <w:t xml:space="preserve">, </w:t>
      </w:r>
      <w:r w:rsidR="00915D90" w:rsidRPr="00915D90">
        <w:t xml:space="preserve">and therefore lacked legal certainty. </w:t>
      </w:r>
      <w:r w:rsidR="00AF1D5D">
        <w:t xml:space="preserve">Moreover, there was a conflict between the position of the Federal </w:t>
      </w:r>
      <w:r w:rsidR="00CE4174">
        <w:t>Bailiff</w:t>
      </w:r>
      <w:r w:rsidR="00AF1D5D">
        <w:t xml:space="preserve"> </w:t>
      </w:r>
      <w:r w:rsidR="00AF1D5D">
        <w:lastRenderedPageBreak/>
        <w:t>Service</w:t>
      </w:r>
      <w:r w:rsidR="00205446">
        <w:t>,</w:t>
      </w:r>
      <w:r w:rsidR="00AF1D5D">
        <w:t xml:space="preserve"> which w</w:t>
      </w:r>
      <w:r w:rsidR="00205446">
        <w:t>as</w:t>
      </w:r>
      <w:r w:rsidR="00AF1D5D">
        <w:t xml:space="preserve"> of the opinion that the expulsion could not be carried out and sought to amend the relevant court decisions, and the court</w:t>
      </w:r>
      <w:r w:rsidR="00205446">
        <w:t xml:space="preserve"> </w:t>
      </w:r>
      <w:r w:rsidR="00AF1D5D">
        <w:t>decisions confirming the validity of the measure ordered (see paragraphs</w:t>
      </w:r>
      <w:r w:rsidR="00943B86">
        <w:t> </w:t>
      </w:r>
      <w:r w:rsidR="00E83AD8">
        <w:rPr>
          <w:noProof/>
        </w:rPr>
        <w:t>15</w:t>
      </w:r>
      <w:r w:rsidR="00AF1D5D" w:rsidRPr="00E00FA3">
        <w:t>-</w:t>
      </w:r>
      <w:r w:rsidR="00E83AD8">
        <w:rPr>
          <w:noProof/>
        </w:rPr>
        <w:t>17</w:t>
      </w:r>
      <w:r w:rsidR="00AF1D5D">
        <w:t xml:space="preserve"> above). </w:t>
      </w:r>
      <w:r w:rsidR="00915D90" w:rsidRPr="00915D90">
        <w:t>Lastly, the applicant</w:t>
      </w:r>
      <w:r w:rsidR="00AF1D5D">
        <w:t>s</w:t>
      </w:r>
      <w:r w:rsidR="00915D90" w:rsidRPr="00915D90">
        <w:t xml:space="preserve"> claimed that such a long stay in detention significantly exceeded the maximum custodial sentence permissible under the Code of Administrative Offences</w:t>
      </w:r>
      <w:r w:rsidR="00254B1F">
        <w:t>,</w:t>
      </w:r>
      <w:r w:rsidR="00915D90" w:rsidRPr="00915D90">
        <w:t xml:space="preserve"> and that </w:t>
      </w:r>
      <w:r w:rsidR="00AF1D5D">
        <w:t>their</w:t>
      </w:r>
      <w:r w:rsidR="00915D90" w:rsidRPr="00915D90">
        <w:t xml:space="preserve"> detention pending expulsion was of a punitive rather than preventive nature.</w:t>
      </w:r>
    </w:p>
    <w:p w:rsidR="00915D90" w:rsidRPr="00915D90" w:rsidRDefault="002F3277" w:rsidP="00AF1D5D">
      <w:pPr>
        <w:pStyle w:val="ECHRHeading4"/>
      </w:pPr>
      <w:r>
        <w:t>(b)  </w:t>
      </w:r>
      <w:r w:rsidR="00915D90" w:rsidRPr="00915D90">
        <w:t>The Court</w:t>
      </w:r>
      <w:r w:rsidR="00BA3D89">
        <w:t>’</w:t>
      </w:r>
      <w:r w:rsidR="00915D90" w:rsidRPr="00915D90">
        <w:t>s assessment</w:t>
      </w:r>
    </w:p>
    <w:p w:rsidR="00915D90" w:rsidRPr="00915D90" w:rsidRDefault="00AF1D5D" w:rsidP="00915D90">
      <w:pPr>
        <w:pStyle w:val="ECHRPara"/>
      </w:pPr>
      <w:r>
        <w:fldChar w:fldCharType="begin"/>
      </w:r>
      <w:r>
        <w:instrText xml:space="preserve"> SEQ level0 \*arabic </w:instrText>
      </w:r>
      <w:r>
        <w:fldChar w:fldCharType="separate"/>
      </w:r>
      <w:r w:rsidR="00D21AD2">
        <w:rPr>
          <w:noProof/>
        </w:rPr>
        <w:t>145</w:t>
      </w:r>
      <w:r>
        <w:fldChar w:fldCharType="end"/>
      </w:r>
      <w:r>
        <w:t>.  </w:t>
      </w:r>
      <w:r w:rsidR="00915D90" w:rsidRPr="00915D90">
        <w:t>The Co</w:t>
      </w:r>
      <w:r>
        <w:t>urt observes that the applicant</w:t>
      </w:r>
      <w:r w:rsidR="00915D90" w:rsidRPr="00915D90">
        <w:t>s</w:t>
      </w:r>
      <w:r w:rsidR="00BA3D89">
        <w:t>’</w:t>
      </w:r>
      <w:r w:rsidR="00915D90" w:rsidRPr="00915D90">
        <w:t xml:space="preserve"> complaint refers to the period from </w:t>
      </w:r>
      <w:r>
        <w:t>15 and 16 April 2014</w:t>
      </w:r>
      <w:r w:rsidR="00915D90" w:rsidRPr="00915D90">
        <w:t xml:space="preserve">, </w:t>
      </w:r>
      <w:r>
        <w:t>when the Distr</w:t>
      </w:r>
      <w:r w:rsidR="00723D8A">
        <w:t>i</w:t>
      </w:r>
      <w:r>
        <w:t>ct Court ordered</w:t>
      </w:r>
      <w:r w:rsidR="00915D90" w:rsidRPr="00915D90">
        <w:t xml:space="preserve"> </w:t>
      </w:r>
      <w:r>
        <w:t>their detention</w:t>
      </w:r>
      <w:r w:rsidR="00915D90" w:rsidRPr="00915D90">
        <w:t xml:space="preserve"> with a view to </w:t>
      </w:r>
      <w:r w:rsidR="00205446">
        <w:t xml:space="preserve">their </w:t>
      </w:r>
      <w:r w:rsidR="00915D90" w:rsidRPr="00915D90">
        <w:t>administrative removal (“expulsion”) from</w:t>
      </w:r>
      <w:r w:rsidR="009A4D42">
        <w:t xml:space="preserve"> Russia (see paragraph 11</w:t>
      </w:r>
      <w:r w:rsidR="00915D90" w:rsidRPr="00915D90">
        <w:t xml:space="preserve"> above)</w:t>
      </w:r>
      <w:r w:rsidR="006F0510">
        <w:t>, to the present day</w:t>
      </w:r>
      <w:r w:rsidR="00915D90" w:rsidRPr="00915D90">
        <w:t xml:space="preserve">. Since administrative removal amounts to a form of “deportation” </w:t>
      </w:r>
      <w:r w:rsidR="00134A95">
        <w:t>within the meaning of Article </w:t>
      </w:r>
      <w:r w:rsidR="004A67B9">
        <w:t>5 </w:t>
      </w:r>
      <w:r w:rsidR="00915D90" w:rsidRPr="00915D90">
        <w:t>§</w:t>
      </w:r>
      <w:r w:rsidR="004A67B9">
        <w:t> </w:t>
      </w:r>
      <w:r w:rsidR="00915D90" w:rsidRPr="00915D90">
        <w:t>1</w:t>
      </w:r>
      <w:r w:rsidR="004A67B9">
        <w:t> </w:t>
      </w:r>
      <w:r w:rsidR="00915D90" w:rsidRPr="00915D90">
        <w:t>(f) of the Convention, that provision is applicable in the instant case.</w:t>
      </w:r>
    </w:p>
    <w:p w:rsidR="009E1BDD" w:rsidRDefault="009A4D42" w:rsidP="001936EE">
      <w:pPr>
        <w:pStyle w:val="ECHRPara"/>
      </w:pPr>
      <w:r>
        <w:fldChar w:fldCharType="begin"/>
      </w:r>
      <w:r>
        <w:instrText xml:space="preserve"> SEQ level0 \*arabic </w:instrText>
      </w:r>
      <w:r>
        <w:fldChar w:fldCharType="separate"/>
      </w:r>
      <w:r w:rsidR="00D21AD2">
        <w:rPr>
          <w:noProof/>
        </w:rPr>
        <w:t>146</w:t>
      </w:r>
      <w:r>
        <w:fldChar w:fldCharType="end"/>
      </w:r>
      <w:r>
        <w:t>.  </w:t>
      </w:r>
      <w:r w:rsidR="005B0091" w:rsidRPr="00E83AD8">
        <w:t>Any deprivation of liberty under t</w:t>
      </w:r>
      <w:r w:rsidR="004A67B9" w:rsidRPr="00E83AD8">
        <w:t>he second limb of Article 5 § 1 </w:t>
      </w:r>
      <w:r w:rsidR="005B0091" w:rsidRPr="00E83AD8">
        <w:t>(f) will be justified only for as long as deportation or extradition proceedings are in progress. If such proceedings are not prosecuted with due diligence, the detention will cease to be permissible under Article 5</w:t>
      </w:r>
      <w:r w:rsidR="004A67B9" w:rsidRPr="00E83AD8">
        <w:t> </w:t>
      </w:r>
      <w:r w:rsidR="005B0091" w:rsidRPr="00E83AD8">
        <w:t>§</w:t>
      </w:r>
      <w:r w:rsidR="004A67B9" w:rsidRPr="00E83AD8">
        <w:t> </w:t>
      </w:r>
      <w:r w:rsidR="005B0091" w:rsidRPr="00E83AD8">
        <w:t>1</w:t>
      </w:r>
      <w:r w:rsidR="004A67B9" w:rsidRPr="00E83AD8">
        <w:t> </w:t>
      </w:r>
      <w:r w:rsidR="005B0091" w:rsidRPr="00E83AD8">
        <w:t>(f) (see</w:t>
      </w:r>
      <w:r w:rsidR="002F3277" w:rsidRPr="00E83AD8">
        <w:t> </w:t>
      </w:r>
      <w:r w:rsidR="005B0091" w:rsidRPr="00B668D2">
        <w:rPr>
          <w:i/>
        </w:rPr>
        <w:t>A.</w:t>
      </w:r>
      <w:r w:rsidR="002F3277">
        <w:rPr>
          <w:i/>
        </w:rPr>
        <w:t> </w:t>
      </w:r>
      <w:r w:rsidR="005B0091" w:rsidRPr="00B668D2">
        <w:rPr>
          <w:i/>
        </w:rPr>
        <w:t>and</w:t>
      </w:r>
      <w:r w:rsidR="002F3277">
        <w:rPr>
          <w:i/>
        </w:rPr>
        <w:t> </w:t>
      </w:r>
      <w:r w:rsidR="005B0091" w:rsidRPr="00B668D2">
        <w:rPr>
          <w:i/>
        </w:rPr>
        <w:t>Others v. the United Kingdom</w:t>
      </w:r>
      <w:r w:rsidR="005B0091" w:rsidRPr="00B668D2">
        <w:t xml:space="preserve"> [GC], </w:t>
      </w:r>
      <w:r w:rsidR="005B0091" w:rsidRPr="00B668D2">
        <w:rPr>
          <w:snapToGrid w:val="0"/>
        </w:rPr>
        <w:t>no.</w:t>
      </w:r>
      <w:r w:rsidR="005B0091">
        <w:t xml:space="preserve"> 3455/05, § 170</w:t>
      </w:r>
      <w:r w:rsidR="005B0091" w:rsidRPr="00B668D2">
        <w:t>, ECHR 2009</w:t>
      </w:r>
      <w:r w:rsidR="005B0091">
        <w:t>, with further references</w:t>
      </w:r>
      <w:r w:rsidR="005B0091" w:rsidRPr="00E83AD8">
        <w:t xml:space="preserve">). </w:t>
      </w:r>
      <w:r w:rsidR="00915D90" w:rsidRPr="00915D90">
        <w:t xml:space="preserve">The Court </w:t>
      </w:r>
      <w:r w:rsidR="005B0091">
        <w:t xml:space="preserve">also </w:t>
      </w:r>
      <w:r w:rsidR="00915D90" w:rsidRPr="00915D90">
        <w:t>reiterates that deprivation of liberty under Article 5</w:t>
      </w:r>
      <w:r w:rsidR="004A67B9">
        <w:t> </w:t>
      </w:r>
      <w:r w:rsidR="00915D90" w:rsidRPr="00915D90">
        <w:t>§</w:t>
      </w:r>
      <w:r w:rsidR="004A67B9">
        <w:t> </w:t>
      </w:r>
      <w:r w:rsidR="00915D90" w:rsidRPr="00915D90">
        <w:t>1</w:t>
      </w:r>
      <w:r w:rsidR="004A67B9">
        <w:t> </w:t>
      </w:r>
      <w:r w:rsidR="00915D90" w:rsidRPr="00915D90">
        <w:t>(f) of the Convention must conform to the substantive and procedural rules of national law. Compliance with national law is not, however, sufficient: Article 5 § 1 requires in addition that any deprivation of liberty should be in keeping with the purpose of protecting the individual from arbitrariness. The notion of “arbitrariness” in Article 5 §</w:t>
      </w:r>
      <w:r w:rsidR="002F3277">
        <w:t> </w:t>
      </w:r>
      <w:r w:rsidR="00915D90" w:rsidRPr="00915D90">
        <w:t xml:space="preserve">1 extends beyond </w:t>
      </w:r>
      <w:r w:rsidR="001936EE">
        <w:t xml:space="preserve">a </w:t>
      </w:r>
      <w:r w:rsidR="00915D90" w:rsidRPr="00915D90">
        <w:t>lack of conformity with national law, so that deprivation of liberty may be lawful in terms of domestic law but still arbitrary, and t</w:t>
      </w:r>
      <w:r w:rsidR="00B15E17">
        <w:t>herefore</w:t>
      </w:r>
      <w:r w:rsidR="00915D90" w:rsidRPr="00915D90">
        <w:t xml:space="preserve"> contrary to the Convention. To avoid being branded as arbitra</w:t>
      </w:r>
      <w:r w:rsidR="00397ACC">
        <w:t>ry, detention under Article 5 § 1 </w:t>
      </w:r>
      <w:r w:rsidR="00915D90" w:rsidRPr="00915D90">
        <w:t>(f) must be carried out in good faith; it must be closely connected to the ground</w:t>
      </w:r>
      <w:r w:rsidR="00E77934">
        <w:t>s</w:t>
      </w:r>
      <w:r w:rsidR="00915D90" w:rsidRPr="00915D90">
        <w:t xml:space="preserve"> of detention relied on by the Government</w:t>
      </w:r>
      <w:r w:rsidR="001936EE">
        <w:t>,</w:t>
      </w:r>
      <w:r w:rsidR="00915D90" w:rsidRPr="00915D90">
        <w:t xml:space="preserve"> the place and conditions of detention must be appropriate</w:t>
      </w:r>
      <w:r w:rsidR="001936EE">
        <w:t>,</w:t>
      </w:r>
      <w:r w:rsidR="00915D90" w:rsidRPr="00915D90">
        <w:t xml:space="preserve"> and the length of the detention must not exceed that reasonably required for the purpose pursued (see</w:t>
      </w:r>
      <w:r w:rsidR="00EE7D72">
        <w:t xml:space="preserve"> </w:t>
      </w:r>
      <w:proofErr w:type="spellStart"/>
      <w:r w:rsidR="00EE7D72" w:rsidRPr="00B668D2">
        <w:rPr>
          <w:i/>
        </w:rPr>
        <w:t>Saadi</w:t>
      </w:r>
      <w:proofErr w:type="spellEnd"/>
      <w:r w:rsidR="00EE7D72" w:rsidRPr="00B668D2">
        <w:rPr>
          <w:i/>
        </w:rPr>
        <w:t xml:space="preserve"> v. the United Kingdom</w:t>
      </w:r>
      <w:r w:rsidR="00134A95">
        <w:t xml:space="preserve"> [GC], no. 13229/03, § </w:t>
      </w:r>
      <w:r w:rsidR="00EE7D72">
        <w:t>74</w:t>
      </w:r>
      <w:r w:rsidR="00EE7D72" w:rsidRPr="00B668D2">
        <w:t>, ECHR 2008</w:t>
      </w:r>
      <w:r w:rsidR="00EE7D72">
        <w:t>;</w:t>
      </w:r>
      <w:r w:rsidR="00915D90" w:rsidRPr="00915D90">
        <w:t xml:space="preserve"> </w:t>
      </w:r>
      <w:proofErr w:type="spellStart"/>
      <w:r w:rsidR="00915D90" w:rsidRPr="009A4D42">
        <w:rPr>
          <w:i/>
        </w:rPr>
        <w:t>Azimov</w:t>
      </w:r>
      <w:proofErr w:type="spellEnd"/>
      <w:r w:rsidR="00915D90" w:rsidRPr="00915D90">
        <w:t>, cited above, § 161</w:t>
      </w:r>
      <w:r w:rsidR="001936EE">
        <w:t>;</w:t>
      </w:r>
      <w:r w:rsidR="00915D90" w:rsidRPr="00915D90">
        <w:t xml:space="preserve"> and </w:t>
      </w:r>
      <w:proofErr w:type="spellStart"/>
      <w:r w:rsidR="00915D90" w:rsidRPr="009A4D42">
        <w:rPr>
          <w:i/>
        </w:rPr>
        <w:t>Rustamov</w:t>
      </w:r>
      <w:proofErr w:type="spellEnd"/>
      <w:r w:rsidR="00915D90" w:rsidRPr="009A4D42">
        <w:rPr>
          <w:i/>
        </w:rPr>
        <w:t xml:space="preserve"> v. Russia</w:t>
      </w:r>
      <w:r w:rsidR="00977089">
        <w:t>, no. </w:t>
      </w:r>
      <w:r w:rsidR="00915D90" w:rsidRPr="009A4D42">
        <w:t>11209/10</w:t>
      </w:r>
      <w:r w:rsidR="00915D90" w:rsidRPr="00915D90">
        <w:t>, §</w:t>
      </w:r>
      <w:r w:rsidR="002F3277">
        <w:t> </w:t>
      </w:r>
      <w:r w:rsidR="00915D90" w:rsidRPr="00915D90">
        <w:t>150, 3</w:t>
      </w:r>
      <w:r w:rsidR="002F3277">
        <w:t> </w:t>
      </w:r>
      <w:r w:rsidR="00915D90" w:rsidRPr="00915D90">
        <w:t>July 2012, with further references).</w:t>
      </w:r>
    </w:p>
    <w:p w:rsidR="00915D90" w:rsidRPr="00915D90" w:rsidRDefault="009A4D42" w:rsidP="00915D90">
      <w:pPr>
        <w:pStyle w:val="ECHRPara"/>
      </w:pPr>
      <w:r w:rsidRPr="004A67B9">
        <w:fldChar w:fldCharType="begin"/>
      </w:r>
      <w:r w:rsidRPr="004A67B9">
        <w:instrText xml:space="preserve"> SEQ level0 \*arabic </w:instrText>
      </w:r>
      <w:r w:rsidRPr="004A67B9">
        <w:fldChar w:fldCharType="separate"/>
      </w:r>
      <w:r w:rsidR="00D21AD2">
        <w:rPr>
          <w:noProof/>
        </w:rPr>
        <w:t>147</w:t>
      </w:r>
      <w:r w:rsidRPr="004A67B9">
        <w:fldChar w:fldCharType="end"/>
      </w:r>
      <w:r w:rsidRPr="0097441D">
        <w:t>.  </w:t>
      </w:r>
      <w:r w:rsidR="00915D90" w:rsidRPr="0097441D">
        <w:t>It is common grou</w:t>
      </w:r>
      <w:r w:rsidR="00915D90" w:rsidRPr="00915D90">
        <w:t>nd between the parties that the applicant</w:t>
      </w:r>
      <w:r>
        <w:t>s</w:t>
      </w:r>
      <w:r w:rsidR="00915D90" w:rsidRPr="00915D90">
        <w:t xml:space="preserve"> had been residing illegally in Russia before </w:t>
      </w:r>
      <w:r>
        <w:t>their</w:t>
      </w:r>
      <w:r w:rsidR="00915D90" w:rsidRPr="00915D90">
        <w:t xml:space="preserve"> arrest and had</w:t>
      </w:r>
      <w:r w:rsidR="00AA2B72">
        <w:t xml:space="preserve"> therefore</w:t>
      </w:r>
      <w:r w:rsidR="00915D90" w:rsidRPr="00915D90">
        <w:t xml:space="preserve"> committed an administrative offence </w:t>
      </w:r>
      <w:r w:rsidR="001936EE">
        <w:t>potentially</w:t>
      </w:r>
      <w:r w:rsidR="00EE7D72">
        <w:t xml:space="preserve"> </w:t>
      </w:r>
      <w:r w:rsidR="00915D90" w:rsidRPr="00915D90">
        <w:t xml:space="preserve">punishable by expulsion. The Court is satisfied that </w:t>
      </w:r>
      <w:r w:rsidR="009E0381">
        <w:t xml:space="preserve">on 15 and 16 April 2014 </w:t>
      </w:r>
      <w:r>
        <w:t>their</w:t>
      </w:r>
      <w:r w:rsidR="00915D90" w:rsidRPr="00915D90">
        <w:t xml:space="preserve"> detention pe</w:t>
      </w:r>
      <w:r w:rsidR="009E0381">
        <w:t>nding expulsion was ordered by the</w:t>
      </w:r>
      <w:r w:rsidR="00915D90" w:rsidRPr="00915D90">
        <w:t xml:space="preserve"> court with jurisdiction in the matter and in connection with an offence punishable by expulsion. The Court accordingly concludes that the </w:t>
      </w:r>
      <w:r w:rsidR="00AD06D9">
        <w:t>initial decision authorising the applicants</w:t>
      </w:r>
      <w:r w:rsidR="00BA3D89">
        <w:t>’</w:t>
      </w:r>
      <w:r w:rsidR="00AD06D9">
        <w:t xml:space="preserve"> detention was</w:t>
      </w:r>
      <w:r w:rsidR="00915D90" w:rsidRPr="00915D90">
        <w:t xml:space="preserve"> </w:t>
      </w:r>
      <w:r w:rsidR="00915D90" w:rsidRPr="00915D90">
        <w:lastRenderedPageBreak/>
        <w:t>in compliance with the letter of the national law.</w:t>
      </w:r>
      <w:r w:rsidR="00C46CF2">
        <w:t xml:space="preserve"> </w:t>
      </w:r>
      <w:r w:rsidR="00C46CF2" w:rsidRPr="00E83AD8">
        <w:t xml:space="preserve">Furthermore, in view of the succinct arguments </w:t>
      </w:r>
      <w:r w:rsidR="00397ACC" w:rsidRPr="00E83AD8">
        <w:t xml:space="preserve">about the situation in Syria </w:t>
      </w:r>
      <w:r w:rsidR="00C46CF2" w:rsidRPr="00E83AD8">
        <w:t xml:space="preserve">submitted by the applicants </w:t>
      </w:r>
      <w:r w:rsidR="00397ACC" w:rsidRPr="00E83AD8">
        <w:t xml:space="preserve">during the court hearings, </w:t>
      </w:r>
      <w:r w:rsidR="00C46CF2" w:rsidRPr="00E83AD8">
        <w:t xml:space="preserve">it could reasonably be said that </w:t>
      </w:r>
      <w:r w:rsidR="00397ACC" w:rsidRPr="00E83AD8">
        <w:t>during this initial period of detention</w:t>
      </w:r>
      <w:r w:rsidR="0044182B" w:rsidRPr="00E83AD8">
        <w:t>,</w:t>
      </w:r>
      <w:r w:rsidR="00397ACC" w:rsidRPr="00E83AD8">
        <w:t xml:space="preserve"> </w:t>
      </w:r>
      <w:r w:rsidR="00C46CF2" w:rsidRPr="00E83AD8">
        <w:t xml:space="preserve">action was being taken against the applicants with a view to deportation, </w:t>
      </w:r>
      <w:r w:rsidR="005B0091" w:rsidRPr="00E83AD8">
        <w:t>as</w:t>
      </w:r>
      <w:r w:rsidR="00C46CF2" w:rsidRPr="00E83AD8">
        <w:t xml:space="preserve"> it appears that </w:t>
      </w:r>
      <w:r w:rsidR="005B0091" w:rsidRPr="00E83AD8">
        <w:t xml:space="preserve">at that stage </w:t>
      </w:r>
      <w:r w:rsidR="00C46CF2" w:rsidRPr="00E83AD8">
        <w:t xml:space="preserve">the authorities were still investigating whether their removal would be possible (see </w:t>
      </w:r>
      <w:proofErr w:type="spellStart"/>
      <w:r w:rsidR="00C46CF2" w:rsidRPr="00E83AD8">
        <w:rPr>
          <w:i/>
        </w:rPr>
        <w:t>Gebremedhin</w:t>
      </w:r>
      <w:proofErr w:type="spellEnd"/>
      <w:r w:rsidR="00C46CF2" w:rsidRPr="00E83AD8">
        <w:rPr>
          <w:i/>
        </w:rPr>
        <w:t xml:space="preserve"> [</w:t>
      </w:r>
      <w:proofErr w:type="spellStart"/>
      <w:r w:rsidR="00C46CF2" w:rsidRPr="00E83AD8">
        <w:rPr>
          <w:i/>
        </w:rPr>
        <w:t>Gaberamadhien</w:t>
      </w:r>
      <w:proofErr w:type="spellEnd"/>
      <w:r w:rsidR="00C46CF2" w:rsidRPr="00E83AD8">
        <w:rPr>
          <w:i/>
        </w:rPr>
        <w:t>] v. France</w:t>
      </w:r>
      <w:r w:rsidR="00C46CF2" w:rsidRPr="00E83AD8">
        <w:t xml:space="preserve">, no. </w:t>
      </w:r>
      <w:r w:rsidR="00C46CF2" w:rsidRPr="004A67B9">
        <w:t>25389/05</w:t>
      </w:r>
      <w:r w:rsidR="00686BE5" w:rsidRPr="00E83AD8">
        <w:t>, § </w:t>
      </w:r>
      <w:r w:rsidR="00C46CF2" w:rsidRPr="00E83AD8">
        <w:t>74, ECHR 2007-II).</w:t>
      </w:r>
    </w:p>
    <w:p w:rsidR="00C46CF2" w:rsidRPr="00E83AD8" w:rsidRDefault="00AD06D9" w:rsidP="009E0381">
      <w:pPr>
        <w:pStyle w:val="ECHRPara"/>
      </w:pPr>
      <w:r>
        <w:fldChar w:fldCharType="begin"/>
      </w:r>
      <w:r>
        <w:instrText xml:space="preserve"> SEQ level0 \*arabic </w:instrText>
      </w:r>
      <w:r>
        <w:fldChar w:fldCharType="separate"/>
      </w:r>
      <w:r w:rsidR="00D21AD2">
        <w:rPr>
          <w:noProof/>
        </w:rPr>
        <w:t>148</w:t>
      </w:r>
      <w:r>
        <w:fldChar w:fldCharType="end"/>
      </w:r>
      <w:r>
        <w:t>.  However</w:t>
      </w:r>
      <w:r w:rsidR="0044182B">
        <w:t>,</w:t>
      </w:r>
      <w:r w:rsidRPr="00915D90">
        <w:t xml:space="preserve"> </w:t>
      </w:r>
      <w:r>
        <w:t>in the statements of appeal submitted to the Kaluga Regional Court the applicants clearly indicated</w:t>
      </w:r>
      <w:r w:rsidR="00D00AAB">
        <w:t>, with reference to the relevant Russian sources,</w:t>
      </w:r>
      <w:r>
        <w:t xml:space="preserve"> </w:t>
      </w:r>
      <w:r w:rsidR="005832A7">
        <w:t xml:space="preserve">that no expulsions to Syria were possible </w:t>
      </w:r>
      <w:r>
        <w:t xml:space="preserve">(see paragraph </w:t>
      </w:r>
      <w:r w:rsidR="00E83AD8">
        <w:rPr>
          <w:noProof/>
        </w:rPr>
        <w:t>12</w:t>
      </w:r>
      <w:r>
        <w:t>)</w:t>
      </w:r>
      <w:r w:rsidR="005832A7">
        <w:t>.</w:t>
      </w:r>
      <w:r>
        <w:t xml:space="preserve"> </w:t>
      </w:r>
      <w:r w:rsidR="005832A7">
        <w:t>O</w:t>
      </w:r>
      <w:r w:rsidRPr="00915D90">
        <w:t>n 2</w:t>
      </w:r>
      <w:r>
        <w:t>7</w:t>
      </w:r>
      <w:r w:rsidRPr="00915D90">
        <w:t xml:space="preserve"> </w:t>
      </w:r>
      <w:r>
        <w:t>May</w:t>
      </w:r>
      <w:r w:rsidRPr="00915D90">
        <w:t xml:space="preserve"> 201</w:t>
      </w:r>
      <w:r>
        <w:t>4</w:t>
      </w:r>
      <w:r w:rsidRPr="00915D90">
        <w:t xml:space="preserve"> the </w:t>
      </w:r>
      <w:r w:rsidR="005832A7">
        <w:t>Regional Court upheld the</w:t>
      </w:r>
      <w:r w:rsidRPr="00915D90">
        <w:t xml:space="preserve"> decision</w:t>
      </w:r>
      <w:r>
        <w:t>s</w:t>
      </w:r>
      <w:r w:rsidRPr="00915D90">
        <w:t xml:space="preserve"> </w:t>
      </w:r>
      <w:r w:rsidR="005832A7">
        <w:t>to expel and detain</w:t>
      </w:r>
      <w:r w:rsidR="00397ACC">
        <w:t xml:space="preserve"> them</w:t>
      </w:r>
      <w:r>
        <w:t xml:space="preserve">, </w:t>
      </w:r>
      <w:r w:rsidR="005832A7">
        <w:t>without addressing</w:t>
      </w:r>
      <w:r>
        <w:t xml:space="preserve"> the </w:t>
      </w:r>
      <w:r w:rsidR="005832A7">
        <w:t>arguments</w:t>
      </w:r>
      <w:r w:rsidR="005B0091">
        <w:t xml:space="preserve"> concerning the possibility of expulsion</w:t>
      </w:r>
      <w:r w:rsidRPr="00915D90">
        <w:t>.</w:t>
      </w:r>
      <w:r>
        <w:t xml:space="preserve"> </w:t>
      </w:r>
      <w:r w:rsidR="005832A7">
        <w:t>In a separate ruling, the Regional Court refused to endorse L.M.</w:t>
      </w:r>
      <w:r w:rsidR="00BA3D89">
        <w:t>’</w:t>
      </w:r>
      <w:r w:rsidR="005832A7">
        <w:t xml:space="preserve">s </w:t>
      </w:r>
      <w:r w:rsidR="0097441D">
        <w:t>request</w:t>
      </w:r>
      <w:r w:rsidR="005832A7">
        <w:t xml:space="preserve"> to </w:t>
      </w:r>
      <w:r w:rsidR="0097441D">
        <w:t>have</w:t>
      </w:r>
      <w:r w:rsidR="005832A7">
        <w:t xml:space="preserve"> the sanction of expulsion</w:t>
      </w:r>
      <w:r w:rsidR="0097441D">
        <w:t xml:space="preserve"> lifted</w:t>
      </w:r>
      <w:r w:rsidR="005832A7">
        <w:t xml:space="preserve">, referring </w:t>
      </w:r>
      <w:r w:rsidR="00397ACC">
        <w:t xml:space="preserve">only </w:t>
      </w:r>
      <w:r w:rsidR="005832A7">
        <w:t xml:space="preserve">to the administrative offence </w:t>
      </w:r>
      <w:r w:rsidR="0097441D">
        <w:t xml:space="preserve">he had </w:t>
      </w:r>
      <w:r w:rsidR="005832A7">
        <w:t xml:space="preserve">committed </w:t>
      </w:r>
      <w:r w:rsidR="005B0091">
        <w:t xml:space="preserve">(see paragraph </w:t>
      </w:r>
      <w:r w:rsidR="00E83AD8">
        <w:rPr>
          <w:noProof/>
        </w:rPr>
        <w:t>14</w:t>
      </w:r>
      <w:r w:rsidR="00381D52">
        <w:t xml:space="preserve"> </w:t>
      </w:r>
      <w:r w:rsidR="005B0091">
        <w:t>above)</w:t>
      </w:r>
      <w:r w:rsidR="005832A7">
        <w:t>. I</w:t>
      </w:r>
      <w:r>
        <w:t xml:space="preserve">n June 2014 the Federal </w:t>
      </w:r>
      <w:r w:rsidR="00CE4174">
        <w:t>Bailiff</w:t>
      </w:r>
      <w:r>
        <w:t xml:space="preserve"> Service </w:t>
      </w:r>
      <w:r w:rsidR="005832A7">
        <w:t xml:space="preserve">requested the same </w:t>
      </w:r>
      <w:r>
        <w:t xml:space="preserve">court </w:t>
      </w:r>
      <w:r w:rsidR="005832A7">
        <w:t xml:space="preserve">to postpone the </w:t>
      </w:r>
      <w:r w:rsidR="00C46CF2">
        <w:t xml:space="preserve">decisions to </w:t>
      </w:r>
      <w:r w:rsidR="005832A7">
        <w:t xml:space="preserve">expel, </w:t>
      </w:r>
      <w:r>
        <w:t xml:space="preserve">indicating that the </w:t>
      </w:r>
      <w:r w:rsidR="005832A7">
        <w:t xml:space="preserve">expulsion could not be carried out. </w:t>
      </w:r>
      <w:r w:rsidR="00D00AAB">
        <w:t>T</w:t>
      </w:r>
      <w:r w:rsidR="005832A7">
        <w:t xml:space="preserve">he </w:t>
      </w:r>
      <w:r w:rsidR="00D00AAB">
        <w:t xml:space="preserve">court again refused, </w:t>
      </w:r>
      <w:r w:rsidR="005832A7">
        <w:t xml:space="preserve">referring to the absence of </w:t>
      </w:r>
      <w:r w:rsidR="00AE5A88">
        <w:t xml:space="preserve">any </w:t>
      </w:r>
      <w:r w:rsidR="005832A7">
        <w:t xml:space="preserve">legal grounds to postpone the expulsion </w:t>
      </w:r>
      <w:r>
        <w:t>(see paragraph</w:t>
      </w:r>
      <w:r w:rsidR="005832A7">
        <w:t xml:space="preserve"> </w:t>
      </w:r>
      <w:r w:rsidR="00E83AD8">
        <w:rPr>
          <w:noProof/>
        </w:rPr>
        <w:t>15</w:t>
      </w:r>
      <w:r w:rsidR="005832A7" w:rsidRPr="00381D52">
        <w:t>-</w:t>
      </w:r>
      <w:r w:rsidR="00E83AD8">
        <w:rPr>
          <w:noProof/>
        </w:rPr>
        <w:t>17</w:t>
      </w:r>
      <w:r w:rsidR="005832A7">
        <w:t xml:space="preserve"> above).</w:t>
      </w:r>
      <w:r>
        <w:t xml:space="preserve"> As a r</w:t>
      </w:r>
      <w:r w:rsidR="005832A7">
        <w:t xml:space="preserve">esult, even though </w:t>
      </w:r>
      <w:r w:rsidR="00D37A4D" w:rsidRPr="00F7005A">
        <w:t>there existed sufficient material indicating</w:t>
      </w:r>
      <w:r w:rsidR="005B0091">
        <w:t xml:space="preserve"> that </w:t>
      </w:r>
      <w:r w:rsidR="005832A7">
        <w:t>no action could</w:t>
      </w:r>
      <w:r>
        <w:t xml:space="preserve"> be taken with </w:t>
      </w:r>
      <w:r w:rsidR="00AE5A88">
        <w:t>a</w:t>
      </w:r>
      <w:r>
        <w:t xml:space="preserve"> view </w:t>
      </w:r>
      <w:r w:rsidR="00AE5A88">
        <w:t>to</w:t>
      </w:r>
      <w:r>
        <w:t xml:space="preserve"> </w:t>
      </w:r>
      <w:proofErr w:type="gramStart"/>
      <w:r>
        <w:t>deportation,</w:t>
      </w:r>
      <w:proofErr w:type="gramEnd"/>
      <w:r>
        <w:t xml:space="preserve"> the applicants</w:t>
      </w:r>
      <w:r w:rsidR="00BA3D89">
        <w:t>’</w:t>
      </w:r>
      <w:r>
        <w:t xml:space="preserve"> detention has been validated</w:t>
      </w:r>
      <w:r w:rsidR="005B0091">
        <w:t xml:space="preserve">. </w:t>
      </w:r>
      <w:r w:rsidR="00C46CF2">
        <w:t xml:space="preserve">L.M. and </w:t>
      </w:r>
      <w:r w:rsidR="00807B20">
        <w:t>M.A.</w:t>
      </w:r>
      <w:r w:rsidR="00C46CF2">
        <w:t xml:space="preserve"> remain in detention to da</w:t>
      </w:r>
      <w:r w:rsidR="00AE5A88">
        <w:t>te</w:t>
      </w:r>
      <w:r w:rsidR="00C46CF2">
        <w:t>, while A.A. escaped and</w:t>
      </w:r>
      <w:r w:rsidR="00AE5A88">
        <w:t xml:space="preserve"> has been</w:t>
      </w:r>
      <w:r w:rsidR="00C46CF2">
        <w:t xml:space="preserve"> at large since August 2014. </w:t>
      </w:r>
      <w:r w:rsidR="00C46CF2" w:rsidRPr="00E83AD8">
        <w:t xml:space="preserve">Accordingly, </w:t>
      </w:r>
      <w:r w:rsidR="00397ACC" w:rsidRPr="00E83AD8">
        <w:t xml:space="preserve">in </w:t>
      </w:r>
      <w:r w:rsidR="00C46CF2" w:rsidRPr="00E83AD8">
        <w:t xml:space="preserve">the circumstances of the present case </w:t>
      </w:r>
      <w:r w:rsidR="005B0091" w:rsidRPr="00E83AD8">
        <w:t xml:space="preserve">the Court concludes that </w:t>
      </w:r>
      <w:r w:rsidR="00C46CF2" w:rsidRPr="00E83AD8">
        <w:t xml:space="preserve">it cannot be said that </w:t>
      </w:r>
      <w:r w:rsidR="00F7005A">
        <w:t>after 27 </w:t>
      </w:r>
      <w:r w:rsidR="00397ACC" w:rsidRPr="00E83AD8">
        <w:t xml:space="preserve">May 2014 </w:t>
      </w:r>
      <w:r w:rsidR="00C46CF2" w:rsidRPr="00E83AD8">
        <w:t xml:space="preserve">the applicants were persons “against whom action [was] being taken with a view to deportation or extradition”. Their detention </w:t>
      </w:r>
      <w:r w:rsidR="00397ACC" w:rsidRPr="00E83AD8">
        <w:t xml:space="preserve">effectuated after that date </w:t>
      </w:r>
      <w:r w:rsidR="00FF27B2" w:rsidRPr="00E83AD8">
        <w:t>was</w:t>
      </w:r>
      <w:r w:rsidR="00C46CF2" w:rsidRPr="00E83AD8">
        <w:t xml:space="preserve"> not, therefore, </w:t>
      </w:r>
      <w:r w:rsidR="00FF27B2" w:rsidRPr="00E83AD8">
        <w:t>permissible under</w:t>
      </w:r>
      <w:r w:rsidR="00C46CF2" w:rsidRPr="00E83AD8">
        <w:t xml:space="preserve"> </w:t>
      </w:r>
      <w:r w:rsidR="00FF27B2" w:rsidRPr="00E83AD8">
        <w:t>the</w:t>
      </w:r>
      <w:r w:rsidR="00C46CF2" w:rsidRPr="00E83AD8">
        <w:t xml:space="preserve"> exception to the right to liberty set out in Article 5</w:t>
      </w:r>
      <w:r w:rsidR="00381D52" w:rsidRPr="00E83AD8">
        <w:t> </w:t>
      </w:r>
      <w:r w:rsidR="00C46CF2" w:rsidRPr="00E83AD8">
        <w:t>§</w:t>
      </w:r>
      <w:r w:rsidR="00381D52" w:rsidRPr="00E83AD8">
        <w:t> </w:t>
      </w:r>
      <w:r w:rsidR="00C46CF2" w:rsidRPr="00E83AD8">
        <w:t>1</w:t>
      </w:r>
      <w:r w:rsidR="00381D52" w:rsidRPr="00E83AD8">
        <w:t> </w:t>
      </w:r>
      <w:r w:rsidR="00C46CF2" w:rsidRPr="00E83AD8">
        <w:t>(f) of the Convention.</w:t>
      </w:r>
    </w:p>
    <w:p w:rsidR="005B0091" w:rsidRDefault="005B0091" w:rsidP="009E0381">
      <w:pPr>
        <w:pStyle w:val="ECHRPara"/>
      </w:pPr>
      <w:r>
        <w:fldChar w:fldCharType="begin"/>
      </w:r>
      <w:r>
        <w:instrText xml:space="preserve"> SEQ level0 \*arabic </w:instrText>
      </w:r>
      <w:r>
        <w:fldChar w:fldCharType="separate"/>
      </w:r>
      <w:r w:rsidR="00D21AD2">
        <w:rPr>
          <w:noProof/>
        </w:rPr>
        <w:t>149</w:t>
      </w:r>
      <w:r>
        <w:fldChar w:fldCharType="end"/>
      </w:r>
      <w:r w:rsidRPr="00E83AD8">
        <w:t>.  </w:t>
      </w:r>
      <w:r>
        <w:t>T</w:t>
      </w:r>
      <w:r w:rsidRPr="0023250A">
        <w:t xml:space="preserve">he Court reiterates that </w:t>
      </w:r>
      <w:r w:rsidR="008B3CFB">
        <w:t xml:space="preserve">under </w:t>
      </w:r>
      <w:r w:rsidRPr="0023250A">
        <w:t xml:space="preserve">Russian law </w:t>
      </w:r>
      <w:r w:rsidR="008B3CFB">
        <w:t xml:space="preserve">there are no provisions </w:t>
      </w:r>
      <w:r w:rsidRPr="0023250A">
        <w:t>which could have allowed the applicants to bring proceedings for</w:t>
      </w:r>
      <w:r w:rsidR="00AE5A88">
        <w:t xml:space="preserve"> a</w:t>
      </w:r>
      <w:r w:rsidRPr="0023250A">
        <w:t xml:space="preserve"> judicial review of </w:t>
      </w:r>
      <w:r>
        <w:t>their</w:t>
      </w:r>
      <w:r w:rsidRPr="0023250A">
        <w:t xml:space="preserve"> detention pending expulsion,</w:t>
      </w:r>
      <w:r w:rsidR="008B3CFB">
        <w:t xml:space="preserve"> and</w:t>
      </w:r>
      <w:r w:rsidRPr="0023250A">
        <w:t xml:space="preserve"> no automatic review of detention at regular intervals (see </w:t>
      </w:r>
      <w:proofErr w:type="spellStart"/>
      <w:r w:rsidRPr="0023250A">
        <w:rPr>
          <w:i/>
        </w:rPr>
        <w:t>Azimov</w:t>
      </w:r>
      <w:proofErr w:type="spellEnd"/>
      <w:r w:rsidRPr="0023250A">
        <w:t>, cited above, § 153, and the Court</w:t>
      </w:r>
      <w:r w:rsidR="00BA3D89">
        <w:t>’</w:t>
      </w:r>
      <w:r w:rsidRPr="0023250A">
        <w:t>s findings under Article 5 § 4 above).</w:t>
      </w:r>
      <w:r>
        <w:t xml:space="preserve"> As a result, even though as noted above no real action has been taken</w:t>
      </w:r>
      <w:r w:rsidR="008B3CFB">
        <w:t xml:space="preserve"> since </w:t>
      </w:r>
      <w:r>
        <w:t>27 May 2014 with a view to expulsion, the applicants remain in detention without any indication of the time-limit or conditions related to the possibility of review hav</w:t>
      </w:r>
      <w:r w:rsidR="008B3CFB">
        <w:t>ing</w:t>
      </w:r>
      <w:r>
        <w:t xml:space="preserve"> been added.</w:t>
      </w:r>
    </w:p>
    <w:p w:rsidR="009E1BDD" w:rsidRDefault="005B0091" w:rsidP="009E0381">
      <w:pPr>
        <w:pStyle w:val="ECHRPara"/>
      </w:pPr>
      <w:r>
        <w:fldChar w:fldCharType="begin"/>
      </w:r>
      <w:r>
        <w:instrText xml:space="preserve"> SEQ level0 \*arabic </w:instrText>
      </w:r>
      <w:r>
        <w:fldChar w:fldCharType="separate"/>
      </w:r>
      <w:r w:rsidR="00D21AD2">
        <w:rPr>
          <w:noProof/>
        </w:rPr>
        <w:t>150</w:t>
      </w:r>
      <w:r>
        <w:fldChar w:fldCharType="end"/>
      </w:r>
      <w:r>
        <w:t>.  </w:t>
      </w:r>
      <w:r w:rsidR="00AD06D9">
        <w:t>Moreover</w:t>
      </w:r>
      <w:r w:rsidR="00EE7D72">
        <w:t xml:space="preserve">, </w:t>
      </w:r>
      <w:r w:rsidR="005832A7">
        <w:t>the Court has already pointed to the absence of clarity as regards the applicants</w:t>
      </w:r>
      <w:r w:rsidR="00BA3D89">
        <w:t>’</w:t>
      </w:r>
      <w:r w:rsidR="005832A7">
        <w:t xml:space="preserve"> situation after the expiry of the </w:t>
      </w:r>
      <w:r w:rsidR="005832A7" w:rsidRPr="009E0381">
        <w:t>two</w:t>
      </w:r>
      <w:r w:rsidR="008B3CFB">
        <w:t>-</w:t>
      </w:r>
      <w:r w:rsidR="005832A7" w:rsidRPr="009E0381">
        <w:t>year</w:t>
      </w:r>
      <w:r w:rsidR="005832A7">
        <w:t xml:space="preserve"> period for </w:t>
      </w:r>
      <w:r w:rsidR="008B3CFB">
        <w:t xml:space="preserve">the </w:t>
      </w:r>
      <w:r w:rsidR="005832A7">
        <w:t xml:space="preserve">execution of decisions </w:t>
      </w:r>
      <w:r w:rsidR="008B3CFB">
        <w:t>under</w:t>
      </w:r>
      <w:r w:rsidR="005832A7">
        <w:t xml:space="preserve"> </w:t>
      </w:r>
      <w:r w:rsidR="005832A7" w:rsidRPr="009E0381">
        <w:t>Article 31.9 § 1 of the Code of Administrative Offences</w:t>
      </w:r>
      <w:r w:rsidR="001B0DAD">
        <w:t xml:space="preserve">, </w:t>
      </w:r>
      <w:r w:rsidR="009E0381" w:rsidRPr="009E0381">
        <w:t>since the</w:t>
      </w:r>
      <w:r w:rsidR="008B3CFB">
        <w:t>y</w:t>
      </w:r>
      <w:r w:rsidR="009E0381" w:rsidRPr="009E0381">
        <w:t xml:space="preserve"> will clearly remain in an irregular situation in terms of immigration law and </w:t>
      </w:r>
      <w:r w:rsidR="0023250A">
        <w:t>could</w:t>
      </w:r>
      <w:r w:rsidR="009E0381" w:rsidRPr="009E0381">
        <w:t xml:space="preserve"> again be liable to expulsion </w:t>
      </w:r>
      <w:r w:rsidR="009E0381" w:rsidRPr="009E0381">
        <w:lastRenderedPageBreak/>
        <w:t>and, consequently, to detention on t</w:t>
      </w:r>
      <w:r w:rsidR="00E77934">
        <w:t>hose</w:t>
      </w:r>
      <w:r w:rsidR="009E0381" w:rsidRPr="009E0381">
        <w:t xml:space="preserve"> ground</w:t>
      </w:r>
      <w:r w:rsidR="00E77934">
        <w:t>s</w:t>
      </w:r>
      <w:r w:rsidR="009E0381" w:rsidRPr="009E0381">
        <w:t xml:space="preserve"> (see </w:t>
      </w:r>
      <w:proofErr w:type="spellStart"/>
      <w:r w:rsidR="009E0381" w:rsidRPr="00EE7D72">
        <w:rPr>
          <w:i/>
        </w:rPr>
        <w:t>Egamberdiyev</w:t>
      </w:r>
      <w:proofErr w:type="spellEnd"/>
      <w:r w:rsidR="009E0381" w:rsidRPr="009E0381">
        <w:t xml:space="preserve">, § 62, and </w:t>
      </w:r>
      <w:proofErr w:type="spellStart"/>
      <w:r w:rsidR="009E0381" w:rsidRPr="00EE7D72">
        <w:rPr>
          <w:i/>
        </w:rPr>
        <w:t>Azimov</w:t>
      </w:r>
      <w:proofErr w:type="spellEnd"/>
      <w:r w:rsidR="009E0381" w:rsidRPr="009E0381">
        <w:t>, § 171</w:t>
      </w:r>
      <w:r w:rsidR="003C2940">
        <w:t>, both cited above</w:t>
      </w:r>
      <w:r w:rsidR="009E0381" w:rsidRPr="009E0381">
        <w:t>).</w:t>
      </w:r>
    </w:p>
    <w:p w:rsidR="009E0381" w:rsidRPr="000B6777" w:rsidRDefault="00EE7D72" w:rsidP="009E0381">
      <w:pPr>
        <w:pStyle w:val="ECHRPara"/>
        <w:rPr>
          <w:highlight w:val="yellow"/>
        </w:rPr>
      </w:pPr>
      <w:r>
        <w:fldChar w:fldCharType="begin"/>
      </w:r>
      <w:r>
        <w:instrText xml:space="preserve"> SEQ level0 \*arabic </w:instrText>
      </w:r>
      <w:r>
        <w:fldChar w:fldCharType="separate"/>
      </w:r>
      <w:r w:rsidR="00D21AD2">
        <w:rPr>
          <w:noProof/>
        </w:rPr>
        <w:t>151</w:t>
      </w:r>
      <w:r>
        <w:fldChar w:fldCharType="end"/>
      </w:r>
      <w:r>
        <w:t>.  </w:t>
      </w:r>
      <w:r w:rsidR="009E0381" w:rsidRPr="009E0381">
        <w:t xml:space="preserve">The Court further notes that the maximum penalty </w:t>
      </w:r>
      <w:r w:rsidR="008B3CFB">
        <w:t>for</w:t>
      </w:r>
      <w:r w:rsidR="009E0381" w:rsidRPr="009E0381">
        <w:t xml:space="preserve"> deprivation of liberty for an administrative offence under the Code of Administrative Offences in force is thirty days, and that detention with a view </w:t>
      </w:r>
      <w:r w:rsidR="009E0381" w:rsidRPr="0023250A">
        <w:t>to expulsion should not be punitive in nature and should be accompanied by appropriate safeguards, as established by the Russian Constitutional Court. In the present case</w:t>
      </w:r>
      <w:r w:rsidR="00F5494D">
        <w:t>,</w:t>
      </w:r>
      <w:r w:rsidR="009E0381" w:rsidRPr="0023250A">
        <w:t xml:space="preserve"> the “preventive” measure was much heavier than the “punitive” one, which is not normal (see </w:t>
      </w:r>
      <w:proofErr w:type="spellStart"/>
      <w:r w:rsidR="009E0381" w:rsidRPr="0023250A">
        <w:rPr>
          <w:i/>
        </w:rPr>
        <w:t>Azimov</w:t>
      </w:r>
      <w:proofErr w:type="spellEnd"/>
      <w:r w:rsidR="009E0381" w:rsidRPr="0023250A">
        <w:t>, cited above, § 172).</w:t>
      </w:r>
    </w:p>
    <w:p w:rsidR="009E1BDD" w:rsidRDefault="001B0DAD" w:rsidP="009E0381">
      <w:pPr>
        <w:pStyle w:val="ECHRPara"/>
      </w:pPr>
      <w:r w:rsidRPr="0023250A">
        <w:fldChar w:fldCharType="begin"/>
      </w:r>
      <w:r w:rsidRPr="0023250A">
        <w:instrText xml:space="preserve"> SEQ level0 \*arabic </w:instrText>
      </w:r>
      <w:r w:rsidRPr="0023250A">
        <w:fldChar w:fldCharType="separate"/>
      </w:r>
      <w:r w:rsidR="00D21AD2">
        <w:rPr>
          <w:noProof/>
        </w:rPr>
        <w:t>152</w:t>
      </w:r>
      <w:r w:rsidRPr="0023250A">
        <w:fldChar w:fldCharType="end"/>
      </w:r>
      <w:r w:rsidRPr="0023250A">
        <w:t>.  </w:t>
      </w:r>
      <w:r w:rsidR="009E0381" w:rsidRPr="009E0381">
        <w:t>In view of the above considerations, the Court concludes that there has been a violation of Article 5 § 1 (f) of the Convention.</w:t>
      </w:r>
    </w:p>
    <w:p w:rsidR="00014566" w:rsidRPr="001247C6" w:rsidRDefault="00EF710D" w:rsidP="00014566">
      <w:pPr>
        <w:pStyle w:val="ECHRHeading1"/>
      </w:pPr>
      <w:r w:rsidRPr="001247C6">
        <w:t>V</w:t>
      </w:r>
      <w:r w:rsidR="00014566" w:rsidRPr="001247C6">
        <w:t xml:space="preserve">.  ALLEGED VIOLATION OF ARTICLE </w:t>
      </w:r>
      <w:r w:rsidR="00113C2B" w:rsidRPr="001247C6">
        <w:t>34</w:t>
      </w:r>
      <w:r w:rsidR="00014566" w:rsidRPr="001247C6">
        <w:t xml:space="preserve"> OF THE CONVENTION</w:t>
      </w:r>
    </w:p>
    <w:p w:rsidR="001247C6" w:rsidRPr="001247C6" w:rsidRDefault="001247C6" w:rsidP="001247C6">
      <w:pPr>
        <w:pStyle w:val="ECHRPara"/>
      </w:pPr>
      <w:r>
        <w:fldChar w:fldCharType="begin"/>
      </w:r>
      <w:r>
        <w:instrText xml:space="preserve"> SEQ level0 \*arabic </w:instrText>
      </w:r>
      <w:r>
        <w:fldChar w:fldCharType="separate"/>
      </w:r>
      <w:r w:rsidR="00D21AD2">
        <w:rPr>
          <w:noProof/>
        </w:rPr>
        <w:t>153</w:t>
      </w:r>
      <w:r>
        <w:fldChar w:fldCharType="end"/>
      </w:r>
      <w:r>
        <w:t>.  </w:t>
      </w:r>
      <w:r w:rsidRPr="001247C6">
        <w:t>The applicant</w:t>
      </w:r>
      <w:r>
        <w:t>s</w:t>
      </w:r>
      <w:r w:rsidRPr="001247C6">
        <w:t xml:space="preserve"> further complained under Article 34 of the Convention that</w:t>
      </w:r>
      <w:r>
        <w:t xml:space="preserve"> the restrictions on their contact with the</w:t>
      </w:r>
      <w:r w:rsidR="00A75EBC">
        <w:t>ir representatives had</w:t>
      </w:r>
      <w:r>
        <w:t xml:space="preserve"> interfered with their ability to communicate with the Court effectively</w:t>
      </w:r>
      <w:r w:rsidRPr="001247C6">
        <w:t xml:space="preserve">. </w:t>
      </w:r>
      <w:r>
        <w:t xml:space="preserve">They also pointed to </w:t>
      </w:r>
      <w:r w:rsidR="00F5494D">
        <w:t>a</w:t>
      </w:r>
      <w:r>
        <w:t xml:space="preserve"> lack of interpret</w:t>
      </w:r>
      <w:r w:rsidR="00F5494D">
        <w:t>ing</w:t>
      </w:r>
      <w:r>
        <w:t xml:space="preserve"> services</w:t>
      </w:r>
      <w:r w:rsidR="00F5494D">
        <w:t>,</w:t>
      </w:r>
      <w:r>
        <w:t xml:space="preserve"> which </w:t>
      </w:r>
      <w:r w:rsidR="00F5494D">
        <w:t xml:space="preserve">had </w:t>
      </w:r>
      <w:r>
        <w:t xml:space="preserve">further hindered their effective participation in the proceedings before the Court. </w:t>
      </w:r>
      <w:r w:rsidRPr="001247C6">
        <w:t>Article 34 of the Convention reads, in so far as relevant, as follows:</w:t>
      </w:r>
    </w:p>
    <w:p w:rsidR="001247C6" w:rsidRPr="001247C6" w:rsidRDefault="001247C6" w:rsidP="001247C6">
      <w:pPr>
        <w:pStyle w:val="JuQuotSub"/>
      </w:pPr>
      <w:r w:rsidRPr="001247C6">
        <w:t>“The Court may receive applications from any person ... claiming to be the victim of a violation by one of the High Contracting Parties of the rights set forth in the Convention or the Protocols thereto. The High Contracting Parties undertake not to hinder in any way the effective exercise of this right.”</w:t>
      </w:r>
    </w:p>
    <w:p w:rsidR="009E1BDD" w:rsidRDefault="001247C6" w:rsidP="001247C6">
      <w:pPr>
        <w:pStyle w:val="ECHRPara"/>
      </w:pPr>
      <w:r>
        <w:fldChar w:fldCharType="begin"/>
      </w:r>
      <w:r>
        <w:instrText xml:space="preserve"> SEQ level0 \*arabic </w:instrText>
      </w:r>
      <w:r>
        <w:fldChar w:fldCharType="separate"/>
      </w:r>
      <w:r w:rsidR="00D21AD2">
        <w:rPr>
          <w:noProof/>
        </w:rPr>
        <w:t>154</w:t>
      </w:r>
      <w:r>
        <w:fldChar w:fldCharType="end"/>
      </w:r>
      <w:r>
        <w:t>.  </w:t>
      </w:r>
      <w:r w:rsidRPr="001247C6">
        <w:t>The Government contested the applicants</w:t>
      </w:r>
      <w:r w:rsidR="00BA3D89">
        <w:t>’</w:t>
      </w:r>
      <w:r w:rsidRPr="001247C6">
        <w:t xml:space="preserve"> submissions. They stated that</w:t>
      </w:r>
      <w:r>
        <w:t xml:space="preserve"> the restrictions on the</w:t>
      </w:r>
      <w:r w:rsidR="00F5494D">
        <w:t>m</w:t>
      </w:r>
      <w:r>
        <w:t xml:space="preserve"> meeting with</w:t>
      </w:r>
      <w:r w:rsidR="00F5494D">
        <w:t xml:space="preserve"> their</w:t>
      </w:r>
      <w:r>
        <w:t xml:space="preserve"> representatives </w:t>
      </w:r>
      <w:r w:rsidR="00F5494D">
        <w:t>had been</w:t>
      </w:r>
      <w:r>
        <w:t xml:space="preserve"> reasonable and </w:t>
      </w:r>
      <w:r w:rsidR="00F5494D">
        <w:t>had</w:t>
      </w:r>
      <w:r>
        <w:t xml:space="preserve"> not interfere</w:t>
      </w:r>
      <w:r w:rsidR="00F5494D">
        <w:t>d</w:t>
      </w:r>
      <w:r>
        <w:t xml:space="preserve"> with the</w:t>
      </w:r>
      <w:r w:rsidR="00F5494D">
        <w:t>ir</w:t>
      </w:r>
      <w:r>
        <w:t xml:space="preserve"> right to communicate with the Court</w:t>
      </w:r>
      <w:r w:rsidRPr="001247C6">
        <w:t>.</w:t>
      </w:r>
      <w:r>
        <w:t xml:space="preserve"> They noted that the</w:t>
      </w:r>
      <w:r w:rsidR="00F5494D">
        <w:t xml:space="preserve"> detention centre</w:t>
      </w:r>
      <w:r w:rsidR="00BA3D89">
        <w:t>’</w:t>
      </w:r>
      <w:r w:rsidR="00F5494D">
        <w:t>s</w:t>
      </w:r>
      <w:r>
        <w:t xml:space="preserve"> daily routine was applicable to all inmates and not just the applicants; that there </w:t>
      </w:r>
      <w:r w:rsidR="00F5494D">
        <w:t>had been</w:t>
      </w:r>
      <w:r>
        <w:t xml:space="preserve"> time available every day to arrange for such meetings; that telephone contact, letters and parcels with the representatives </w:t>
      </w:r>
      <w:r w:rsidR="00F5494D">
        <w:t>had</w:t>
      </w:r>
      <w:r>
        <w:t xml:space="preserve"> not</w:t>
      </w:r>
      <w:r w:rsidR="00F5494D">
        <w:t xml:space="preserve"> been</w:t>
      </w:r>
      <w:r>
        <w:t xml:space="preserve"> limited and could serve as further means </w:t>
      </w:r>
      <w:r w:rsidR="00F5494D">
        <w:t>of</w:t>
      </w:r>
      <w:r>
        <w:t xml:space="preserve"> communicat</w:t>
      </w:r>
      <w:r w:rsidR="00F5494D">
        <w:t>ion</w:t>
      </w:r>
      <w:r>
        <w:t>. The Government stressed that while the applicants</w:t>
      </w:r>
      <w:r w:rsidR="00BA3D89">
        <w:t>’</w:t>
      </w:r>
      <w:r>
        <w:t xml:space="preserve"> representative </w:t>
      </w:r>
      <w:r w:rsidR="00625D44">
        <w:t>Ms</w:t>
      </w:r>
      <w:r>
        <w:t xml:space="preserve"> </w:t>
      </w:r>
      <w:proofErr w:type="spellStart"/>
      <w:r>
        <w:t>Golovanchuk</w:t>
      </w:r>
      <w:proofErr w:type="spellEnd"/>
      <w:r>
        <w:t xml:space="preserve"> had met with the applicants on 17 December 2014, there </w:t>
      </w:r>
      <w:r w:rsidR="00F5494D">
        <w:t>had been</w:t>
      </w:r>
      <w:r>
        <w:t xml:space="preserve"> no requests lodged</w:t>
      </w:r>
      <w:r w:rsidR="000E0508">
        <w:t>,</w:t>
      </w:r>
      <w:r>
        <w:t xml:space="preserve"> or refused</w:t>
      </w:r>
      <w:r w:rsidR="000E0508">
        <w:t>,</w:t>
      </w:r>
      <w:r>
        <w:t xml:space="preserve"> by </w:t>
      </w:r>
      <w:r w:rsidR="003407AB">
        <w:t>her</w:t>
      </w:r>
      <w:r>
        <w:t xml:space="preserve"> on any other occasion.</w:t>
      </w:r>
    </w:p>
    <w:p w:rsidR="001247C6" w:rsidRPr="001247C6" w:rsidRDefault="001247C6" w:rsidP="001247C6">
      <w:pPr>
        <w:pStyle w:val="ECHRPara"/>
      </w:pPr>
      <w:r>
        <w:fldChar w:fldCharType="begin"/>
      </w:r>
      <w:r>
        <w:instrText xml:space="preserve"> SEQ level0 \*arabic </w:instrText>
      </w:r>
      <w:r>
        <w:fldChar w:fldCharType="separate"/>
      </w:r>
      <w:r w:rsidR="00D21AD2">
        <w:rPr>
          <w:noProof/>
        </w:rPr>
        <w:t>155</w:t>
      </w:r>
      <w:r>
        <w:fldChar w:fldCharType="end"/>
      </w:r>
      <w:r>
        <w:t>.  </w:t>
      </w:r>
      <w:r w:rsidRPr="001247C6">
        <w:t>The applicant</w:t>
      </w:r>
      <w:r>
        <w:t>s</w:t>
      </w:r>
      <w:r w:rsidRPr="001247C6">
        <w:t xml:space="preserve"> maintained </w:t>
      </w:r>
      <w:r>
        <w:t>their</w:t>
      </w:r>
      <w:r w:rsidRPr="001247C6">
        <w:t xml:space="preserve"> complaint.</w:t>
      </w:r>
    </w:p>
    <w:p w:rsidR="00113C2B" w:rsidRPr="00113C2B" w:rsidRDefault="001247C6" w:rsidP="00113C2B">
      <w:pPr>
        <w:pStyle w:val="ECHRPara"/>
      </w:pPr>
      <w:r>
        <w:fldChar w:fldCharType="begin"/>
      </w:r>
      <w:r>
        <w:instrText xml:space="preserve"> SEQ level0 \*arabic </w:instrText>
      </w:r>
      <w:r>
        <w:fldChar w:fldCharType="separate"/>
      </w:r>
      <w:r w:rsidR="00D21AD2">
        <w:rPr>
          <w:noProof/>
        </w:rPr>
        <w:t>156</w:t>
      </w:r>
      <w:r>
        <w:fldChar w:fldCharType="end"/>
      </w:r>
      <w:r>
        <w:t>.  </w:t>
      </w:r>
      <w:r w:rsidR="00113C2B" w:rsidRPr="00113C2B">
        <w:t>The Court reiterates that it is of the utmost importance for the effective operation of the system of individual petition instituted by Article</w:t>
      </w:r>
      <w:r w:rsidR="00CF3927">
        <w:t> </w:t>
      </w:r>
      <w:r w:rsidR="00113C2B" w:rsidRPr="00113C2B">
        <w:t xml:space="preserve">34 that applicants or potential applicants should be able to communicate freely with the Court without being subjected to any form of pressure from the authorities to withdraw or modify their complaints (see </w:t>
      </w:r>
      <w:proofErr w:type="spellStart"/>
      <w:r w:rsidR="00113C2B" w:rsidRPr="001247C6">
        <w:rPr>
          <w:i/>
        </w:rPr>
        <w:t>Mamatkulov</w:t>
      </w:r>
      <w:proofErr w:type="spellEnd"/>
      <w:r w:rsidR="00113C2B" w:rsidRPr="001247C6">
        <w:rPr>
          <w:i/>
        </w:rPr>
        <w:t xml:space="preserve"> and </w:t>
      </w:r>
      <w:proofErr w:type="spellStart"/>
      <w:r w:rsidR="00113C2B" w:rsidRPr="001247C6">
        <w:rPr>
          <w:i/>
        </w:rPr>
        <w:t>Askarov</w:t>
      </w:r>
      <w:proofErr w:type="spellEnd"/>
      <w:r w:rsidR="00113C2B" w:rsidRPr="001247C6">
        <w:rPr>
          <w:i/>
        </w:rPr>
        <w:t xml:space="preserve"> v. Turkey</w:t>
      </w:r>
      <w:r w:rsidR="00113C2B" w:rsidRPr="00113C2B">
        <w:t xml:space="preserve"> [GC], nos. </w:t>
      </w:r>
      <w:r w:rsidR="00D966C7" w:rsidRPr="00DA5CB8">
        <w:t>46827/99</w:t>
      </w:r>
      <w:r w:rsidR="00113C2B" w:rsidRPr="00113C2B">
        <w:t xml:space="preserve"> and </w:t>
      </w:r>
      <w:r w:rsidR="00D966C7" w:rsidRPr="00DA5CB8">
        <w:t>46951/99</w:t>
      </w:r>
      <w:r w:rsidR="00113C2B" w:rsidRPr="00113C2B">
        <w:t>, §</w:t>
      </w:r>
      <w:r w:rsidR="00CF3927">
        <w:t> </w:t>
      </w:r>
      <w:r w:rsidR="00113C2B" w:rsidRPr="00113C2B">
        <w:t>102, ECHR</w:t>
      </w:r>
      <w:r w:rsidR="002F3277">
        <w:t> </w:t>
      </w:r>
      <w:r w:rsidR="00113C2B" w:rsidRPr="00113C2B">
        <w:t>2005</w:t>
      </w:r>
      <w:r w:rsidR="002F3277">
        <w:noBreakHyphen/>
      </w:r>
      <w:r w:rsidR="00113C2B" w:rsidRPr="00113C2B">
        <w:t xml:space="preserve">I). In this context, “pressure” includes not only direct coercion and flagrant acts of intimidation but also other improper indirect </w:t>
      </w:r>
      <w:r w:rsidR="00113C2B" w:rsidRPr="00113C2B">
        <w:lastRenderedPageBreak/>
        <w:t xml:space="preserve">acts or </w:t>
      </w:r>
      <w:r w:rsidR="00C85FC2">
        <w:t xml:space="preserve">instances of </w:t>
      </w:r>
      <w:r w:rsidR="00113C2B" w:rsidRPr="00113C2B">
        <w:t xml:space="preserve">contact designed to dissuade or discourage applicants from pursuing a Convention remedy. The fact that </w:t>
      </w:r>
      <w:r w:rsidR="00C85FC2">
        <w:t>an</w:t>
      </w:r>
      <w:r w:rsidR="00113C2B" w:rsidRPr="00113C2B">
        <w:t xml:space="preserve"> individual </w:t>
      </w:r>
      <w:r w:rsidR="00C85FC2">
        <w:t xml:space="preserve">has </w:t>
      </w:r>
      <w:r w:rsidR="00113C2B" w:rsidRPr="00113C2B">
        <w:t xml:space="preserve">actually managed to pursue his application does not prevent an issue arising under Article 34: should the </w:t>
      </w:r>
      <w:r w:rsidR="00F34C8B">
        <w:t>Government</w:t>
      </w:r>
      <w:r w:rsidR="00BA3D89">
        <w:t>’</w:t>
      </w:r>
      <w:r w:rsidR="00F34C8B">
        <w:t>s</w:t>
      </w:r>
      <w:r w:rsidR="00113C2B" w:rsidRPr="00113C2B">
        <w:t xml:space="preserve"> action make it more difficult for </w:t>
      </w:r>
      <w:r w:rsidR="00C85FC2">
        <w:t>him</w:t>
      </w:r>
      <w:r w:rsidR="00113C2B" w:rsidRPr="00113C2B">
        <w:t xml:space="preserve"> to exercise his right of petition, this amounts to “hindering” his rights under Article 34 (see </w:t>
      </w:r>
      <w:proofErr w:type="spellStart"/>
      <w:r w:rsidR="00113C2B" w:rsidRPr="001247C6">
        <w:rPr>
          <w:i/>
        </w:rPr>
        <w:t>Akdivar</w:t>
      </w:r>
      <w:proofErr w:type="spellEnd"/>
      <w:r w:rsidR="00113C2B" w:rsidRPr="001247C6">
        <w:rPr>
          <w:i/>
        </w:rPr>
        <w:t xml:space="preserve"> and Others v. Turkey</w:t>
      </w:r>
      <w:r w:rsidR="00113C2B" w:rsidRPr="00113C2B">
        <w:t xml:space="preserve">, 16 September 1996, §§ 105 and 254, </w:t>
      </w:r>
      <w:r w:rsidR="00113C2B" w:rsidRPr="00DA5CB8">
        <w:rPr>
          <w:i/>
        </w:rPr>
        <w:t>Reports</w:t>
      </w:r>
      <w:r w:rsidR="00113C2B" w:rsidRPr="00113C2B">
        <w:t xml:space="preserve"> 1996-IV). The intentions or reasons underlying the acts or omissions in question are of little relevance when assessing whether Article</w:t>
      </w:r>
      <w:r w:rsidR="007B2F37">
        <w:t> </w:t>
      </w:r>
      <w:r w:rsidR="00113C2B" w:rsidRPr="00113C2B">
        <w:t xml:space="preserve">34 of the Convention </w:t>
      </w:r>
      <w:r w:rsidR="00C85FC2">
        <w:t>has been</w:t>
      </w:r>
      <w:r w:rsidR="00113C2B" w:rsidRPr="00113C2B">
        <w:t xml:space="preserve"> complied with; what matters is whether the situation created as a result of the </w:t>
      </w:r>
      <w:r w:rsidR="00F34C8B">
        <w:t>authorities</w:t>
      </w:r>
      <w:r w:rsidR="00BA3D89">
        <w:t>’</w:t>
      </w:r>
      <w:r w:rsidR="00113C2B" w:rsidRPr="00113C2B">
        <w:t xml:space="preserve"> act or omission conforms to Article 34 (see </w:t>
      </w:r>
      <w:proofErr w:type="spellStart"/>
      <w:r w:rsidR="00113C2B" w:rsidRPr="001247C6">
        <w:rPr>
          <w:i/>
        </w:rPr>
        <w:t>Paladi</w:t>
      </w:r>
      <w:proofErr w:type="spellEnd"/>
      <w:r w:rsidR="00113C2B" w:rsidRPr="001247C6">
        <w:rPr>
          <w:i/>
        </w:rPr>
        <w:t xml:space="preserve"> v. Moldova</w:t>
      </w:r>
      <w:r w:rsidR="00113C2B" w:rsidRPr="00113C2B">
        <w:t xml:space="preserve"> [GC], no. </w:t>
      </w:r>
      <w:r w:rsidR="006D49AB" w:rsidRPr="00DA5CB8">
        <w:t>39806/05</w:t>
      </w:r>
      <w:r w:rsidR="00113C2B" w:rsidRPr="00113C2B">
        <w:t>, § 87, 10</w:t>
      </w:r>
      <w:r w:rsidR="007B2F37">
        <w:t> </w:t>
      </w:r>
      <w:r w:rsidR="00113C2B" w:rsidRPr="00113C2B">
        <w:t>March 2009).</w:t>
      </w:r>
    </w:p>
    <w:p w:rsidR="009E1BDD" w:rsidRDefault="001247C6" w:rsidP="00113C2B">
      <w:pPr>
        <w:pStyle w:val="ECHRPara"/>
      </w:pPr>
      <w:r>
        <w:fldChar w:fldCharType="begin"/>
      </w:r>
      <w:r>
        <w:instrText xml:space="preserve"> SEQ level0 \*arabic </w:instrText>
      </w:r>
      <w:r>
        <w:fldChar w:fldCharType="separate"/>
      </w:r>
      <w:r w:rsidR="00D21AD2">
        <w:rPr>
          <w:noProof/>
        </w:rPr>
        <w:t>157</w:t>
      </w:r>
      <w:r>
        <w:fldChar w:fldCharType="end"/>
      </w:r>
      <w:r>
        <w:t>.  </w:t>
      </w:r>
      <w:r w:rsidR="00113C2B" w:rsidRPr="00113C2B">
        <w:t xml:space="preserve">The Court has already found in a number of cases that measures limiting </w:t>
      </w:r>
      <w:r w:rsidR="00C85FC2">
        <w:t>an</w:t>
      </w:r>
      <w:r w:rsidR="00113C2B" w:rsidRPr="00113C2B">
        <w:t xml:space="preserve"> applicant</w:t>
      </w:r>
      <w:r w:rsidR="00BA3D89">
        <w:t>’</w:t>
      </w:r>
      <w:r w:rsidR="00113C2B" w:rsidRPr="00113C2B">
        <w:t xml:space="preserve">s contact with his representative may constitute interference with the exercise of </w:t>
      </w:r>
      <w:r w:rsidR="00C85FC2">
        <w:t>his</w:t>
      </w:r>
      <w:r w:rsidR="00113C2B" w:rsidRPr="00113C2B">
        <w:t xml:space="preserve"> right of individual petition (see, for example, </w:t>
      </w:r>
      <w:proofErr w:type="spellStart"/>
      <w:r w:rsidR="00113C2B" w:rsidRPr="001247C6">
        <w:rPr>
          <w:i/>
        </w:rPr>
        <w:t>Shtukaturov</w:t>
      </w:r>
      <w:proofErr w:type="spellEnd"/>
      <w:r w:rsidR="00113C2B" w:rsidRPr="001247C6">
        <w:rPr>
          <w:i/>
        </w:rPr>
        <w:t xml:space="preserve"> v. Russia</w:t>
      </w:r>
      <w:r w:rsidR="00113C2B" w:rsidRPr="00113C2B">
        <w:t xml:space="preserve">, no. </w:t>
      </w:r>
      <w:r w:rsidR="006D49AB" w:rsidRPr="00DA5CB8">
        <w:t>44009/05</w:t>
      </w:r>
      <w:r w:rsidR="00113C2B" w:rsidRPr="00113C2B">
        <w:t xml:space="preserve">, § 140, 27 March 2008, where a ban on </w:t>
      </w:r>
      <w:r w:rsidR="00F34C8B">
        <w:t>lawyer</w:t>
      </w:r>
      <w:r w:rsidR="00BA3D89">
        <w:t>’</w:t>
      </w:r>
      <w:r w:rsidR="00F34C8B">
        <w:t>s</w:t>
      </w:r>
      <w:r w:rsidR="00113C2B" w:rsidRPr="00113C2B">
        <w:t xml:space="preserve"> visits, coupled with a ban on telephone calls and correspondence, was held to be incompatible with the respondent </w:t>
      </w:r>
      <w:r w:rsidR="00F34C8B">
        <w:t>State</w:t>
      </w:r>
      <w:r w:rsidR="00BA3D89">
        <w:t>’</w:t>
      </w:r>
      <w:r w:rsidR="00F34C8B">
        <w:t>s</w:t>
      </w:r>
      <w:r w:rsidR="00113C2B" w:rsidRPr="00113C2B">
        <w:t xml:space="preserve"> obligations under Article 34 of the Convention). The Court has, however, accepted that compliance by a representative with certain formal requirements might be necessary before obtaining access to a detainee, for instance for security reasons or in order to prevent collusion or perver</w:t>
      </w:r>
      <w:r w:rsidR="00047C92">
        <w:t>ting</w:t>
      </w:r>
      <w:r w:rsidR="00113C2B" w:rsidRPr="00113C2B">
        <w:t xml:space="preserve"> the course of the investigation or justice (see </w:t>
      </w:r>
      <w:proofErr w:type="spellStart"/>
      <w:r w:rsidR="00113C2B" w:rsidRPr="001247C6">
        <w:rPr>
          <w:i/>
        </w:rPr>
        <w:t>Melnikov</w:t>
      </w:r>
      <w:proofErr w:type="spellEnd"/>
      <w:r w:rsidR="00113C2B" w:rsidRPr="001247C6">
        <w:rPr>
          <w:i/>
        </w:rPr>
        <w:t xml:space="preserve"> v. Russia</w:t>
      </w:r>
      <w:r w:rsidR="003407AB">
        <w:t>, no. </w:t>
      </w:r>
      <w:r w:rsidR="00D966C7" w:rsidRPr="00DA5CB8">
        <w:t>23610/03</w:t>
      </w:r>
      <w:r w:rsidR="00134A95">
        <w:t>, § </w:t>
      </w:r>
      <w:r w:rsidR="00113C2B" w:rsidRPr="00113C2B">
        <w:t xml:space="preserve">96, 14 January 2010). At the same time, excessive formalities in such matters, such as those that could </w:t>
      </w:r>
      <w:r w:rsidR="00113C2B" w:rsidRPr="00DA5CB8">
        <w:rPr>
          <w:i/>
        </w:rPr>
        <w:t>de facto</w:t>
      </w:r>
      <w:r w:rsidR="00113C2B" w:rsidRPr="00113C2B">
        <w:t xml:space="preserve"> prevent a prospective applicant from effectively enjoying his right of individual </w:t>
      </w:r>
      <w:proofErr w:type="gramStart"/>
      <w:r w:rsidR="00113C2B" w:rsidRPr="00113C2B">
        <w:t>petition,</w:t>
      </w:r>
      <w:proofErr w:type="gramEnd"/>
      <w:r w:rsidR="00113C2B" w:rsidRPr="00113C2B">
        <w:t xml:space="preserve"> have been found to be </w:t>
      </w:r>
      <w:r w:rsidR="00C85FC2">
        <w:t>u</w:t>
      </w:r>
      <w:r w:rsidR="00113C2B" w:rsidRPr="00113C2B">
        <w:t xml:space="preserve">nacceptable. </w:t>
      </w:r>
      <w:r w:rsidR="00C85FC2">
        <w:t>W</w:t>
      </w:r>
      <w:r w:rsidR="00717DAB">
        <w:t xml:space="preserve">here </w:t>
      </w:r>
      <w:r w:rsidR="00C85FC2">
        <w:t>an</w:t>
      </w:r>
      <w:r w:rsidR="00717DAB">
        <w:t xml:space="preserve"> applicant</w:t>
      </w:r>
      <w:r w:rsidR="00BA3D89">
        <w:t>’</w:t>
      </w:r>
      <w:r w:rsidR="00717DAB">
        <w:t>s representative</w:t>
      </w:r>
      <w:r w:rsidR="00C85FC2">
        <w:t>,</w:t>
      </w:r>
      <w:r w:rsidR="00717DAB">
        <w:t xml:space="preserve"> </w:t>
      </w:r>
      <w:r w:rsidR="003407AB">
        <w:t>an NGO lawyer</w:t>
      </w:r>
      <w:r w:rsidR="00C85FC2">
        <w:t xml:space="preserve">, </w:t>
      </w:r>
      <w:r w:rsidR="00717DAB">
        <w:t xml:space="preserve">was required to produce a court </w:t>
      </w:r>
      <w:r w:rsidR="002C61A8" w:rsidRPr="00113C2B">
        <w:t xml:space="preserve">decision </w:t>
      </w:r>
      <w:r w:rsidR="002C61A8">
        <w:t>admitting</w:t>
      </w:r>
      <w:r w:rsidR="002C61A8" w:rsidRPr="00113C2B">
        <w:t xml:space="preserve"> </w:t>
      </w:r>
      <w:r w:rsidR="002C61A8">
        <w:t xml:space="preserve">her </w:t>
      </w:r>
      <w:r w:rsidR="002C61A8" w:rsidRPr="00113C2B">
        <w:t>to act as counsel, such admittance being within the discretionary powers of the trial or appeal judge</w:t>
      </w:r>
      <w:r w:rsidR="002C61A8">
        <w:t xml:space="preserve">, this </w:t>
      </w:r>
      <w:r w:rsidR="002C61A8" w:rsidRPr="00113C2B">
        <w:t xml:space="preserve">constituted an interference with the exercise of his right of </w:t>
      </w:r>
      <w:r w:rsidR="002C61A8" w:rsidRPr="003407AB">
        <w:t xml:space="preserve">individual petition (see </w:t>
      </w:r>
      <w:proofErr w:type="spellStart"/>
      <w:r w:rsidR="002C61A8" w:rsidRPr="003407AB">
        <w:rPr>
          <w:i/>
          <w:szCs w:val="24"/>
        </w:rPr>
        <w:t>Zakharkin</w:t>
      </w:r>
      <w:proofErr w:type="spellEnd"/>
      <w:r w:rsidR="002C61A8" w:rsidRPr="003407AB">
        <w:rPr>
          <w:i/>
          <w:szCs w:val="24"/>
        </w:rPr>
        <w:t xml:space="preserve"> v. Russia</w:t>
      </w:r>
      <w:r w:rsidR="002C61A8" w:rsidRPr="003407AB">
        <w:rPr>
          <w:szCs w:val="24"/>
        </w:rPr>
        <w:t>, no. 1555/04</w:t>
      </w:r>
      <w:r w:rsidR="002C61A8" w:rsidRPr="003407AB">
        <w:rPr>
          <w:snapToGrid w:val="0"/>
          <w:szCs w:val="24"/>
        </w:rPr>
        <w:t xml:space="preserve">, § 158, 10 June 2010). </w:t>
      </w:r>
      <w:r w:rsidR="00113C2B" w:rsidRPr="003407AB">
        <w:t>By contrast, where the domestic formalities were easy to comply with</w:t>
      </w:r>
      <w:r w:rsidR="00C85FC2">
        <w:t xml:space="preserve"> and</w:t>
      </w:r>
      <w:r w:rsidR="00113C2B" w:rsidRPr="003407AB">
        <w:t xml:space="preserve"> </w:t>
      </w:r>
      <w:r w:rsidR="00D91D34">
        <w:t xml:space="preserve">the applicant </w:t>
      </w:r>
      <w:r w:rsidR="00C85FC2">
        <w:t xml:space="preserve">concerned </w:t>
      </w:r>
      <w:r w:rsidR="00D91D34">
        <w:t xml:space="preserve">had access to other representatives and the resulting delay in meetings was not excessive, </w:t>
      </w:r>
      <w:r w:rsidR="00134A95">
        <w:t>no issue arose under Article </w:t>
      </w:r>
      <w:r w:rsidR="00113C2B" w:rsidRPr="003407AB">
        <w:t xml:space="preserve">34 (see </w:t>
      </w:r>
      <w:proofErr w:type="spellStart"/>
      <w:r w:rsidR="00113C2B" w:rsidRPr="003407AB">
        <w:rPr>
          <w:i/>
        </w:rPr>
        <w:t>Lebedev</w:t>
      </w:r>
      <w:proofErr w:type="spellEnd"/>
      <w:r w:rsidR="00113C2B" w:rsidRPr="003407AB">
        <w:rPr>
          <w:i/>
        </w:rPr>
        <w:t xml:space="preserve"> v.</w:t>
      </w:r>
      <w:r w:rsidR="002F3277">
        <w:rPr>
          <w:i/>
        </w:rPr>
        <w:t> </w:t>
      </w:r>
      <w:r w:rsidR="00113C2B" w:rsidRPr="003407AB">
        <w:rPr>
          <w:i/>
        </w:rPr>
        <w:t>Russia</w:t>
      </w:r>
      <w:r w:rsidR="003407AB">
        <w:t>, no. </w:t>
      </w:r>
      <w:r w:rsidR="00D966C7" w:rsidRPr="00DA5CB8">
        <w:t>4493/04</w:t>
      </w:r>
      <w:r w:rsidR="00113C2B" w:rsidRPr="003407AB">
        <w:t>, §§ 119, 25 October 2007).</w:t>
      </w:r>
    </w:p>
    <w:p w:rsidR="009E1BDD" w:rsidRDefault="00717DAB" w:rsidP="00113C2B">
      <w:pPr>
        <w:pStyle w:val="ECHRPara"/>
      </w:pPr>
      <w:r w:rsidRPr="003407AB">
        <w:fldChar w:fldCharType="begin"/>
      </w:r>
      <w:r w:rsidRPr="003407AB">
        <w:instrText xml:space="preserve"> SEQ level0 \*arabic </w:instrText>
      </w:r>
      <w:r w:rsidRPr="003407AB">
        <w:fldChar w:fldCharType="separate"/>
      </w:r>
      <w:r w:rsidR="00D21AD2">
        <w:rPr>
          <w:noProof/>
        </w:rPr>
        <w:t>158</w:t>
      </w:r>
      <w:r w:rsidRPr="003407AB">
        <w:fldChar w:fldCharType="end"/>
      </w:r>
      <w:r w:rsidRPr="003407AB">
        <w:t>.  </w:t>
      </w:r>
      <w:r w:rsidR="00113C2B" w:rsidRPr="003407AB">
        <w:t>Turning to the present case, the Court observes that the applicants</w:t>
      </w:r>
      <w:r w:rsidR="003407AB" w:rsidRPr="003407AB">
        <w:t xml:space="preserve"> were represented before the Court Ms N. </w:t>
      </w:r>
      <w:proofErr w:type="spellStart"/>
      <w:r w:rsidR="003407AB" w:rsidRPr="003407AB">
        <w:t>Golovanchuk</w:t>
      </w:r>
      <w:proofErr w:type="spellEnd"/>
      <w:r w:rsidR="003407AB" w:rsidRPr="003407AB">
        <w:t xml:space="preserve">, a lawyer practising in Moscow. It agrees with the </w:t>
      </w:r>
      <w:r w:rsidR="003407AB">
        <w:t>Government that</w:t>
      </w:r>
      <w:r w:rsidR="00354BC2">
        <w:t xml:space="preserve"> </w:t>
      </w:r>
      <w:r w:rsidR="003407AB">
        <w:t>it appears</w:t>
      </w:r>
      <w:r w:rsidR="00354BC2">
        <w:t xml:space="preserve"> that</w:t>
      </w:r>
      <w:r w:rsidR="003407AB">
        <w:t xml:space="preserve"> no other meetings with her </w:t>
      </w:r>
      <w:r w:rsidR="00354BC2">
        <w:t>were</w:t>
      </w:r>
      <w:r w:rsidR="003407AB">
        <w:t xml:space="preserve"> requested or denied, except </w:t>
      </w:r>
      <w:r w:rsidR="00354BC2">
        <w:t>one</w:t>
      </w:r>
      <w:r w:rsidR="003407AB">
        <w:t xml:space="preserve"> which </w:t>
      </w:r>
      <w:r w:rsidR="00354BC2">
        <w:t>took</w:t>
      </w:r>
      <w:r w:rsidR="003407AB">
        <w:t xml:space="preserve"> place on 17 December 2014.</w:t>
      </w:r>
    </w:p>
    <w:p w:rsidR="009E1BDD" w:rsidRDefault="003407AB" w:rsidP="00D91D34">
      <w:pPr>
        <w:pStyle w:val="ECHRPara"/>
      </w:pPr>
      <w:r>
        <w:fldChar w:fldCharType="begin"/>
      </w:r>
      <w:r>
        <w:instrText xml:space="preserve"> SEQ level0 \*arabic </w:instrText>
      </w:r>
      <w:r>
        <w:fldChar w:fldCharType="separate"/>
      </w:r>
      <w:r w:rsidR="00D21AD2">
        <w:rPr>
          <w:noProof/>
        </w:rPr>
        <w:t>159</w:t>
      </w:r>
      <w:r>
        <w:fldChar w:fldCharType="end"/>
      </w:r>
      <w:r>
        <w:t xml:space="preserve">.  At the same time, the Court remarks that in their communication with the domestic authorities and their representative before the Court the applicants relied not only on the meetings with their representative before </w:t>
      </w:r>
      <w:r>
        <w:lastRenderedPageBreak/>
        <w:t xml:space="preserve">the Court who is based </w:t>
      </w:r>
      <w:r w:rsidR="00D91D34">
        <w:t xml:space="preserve">in </w:t>
      </w:r>
      <w:r>
        <w:t xml:space="preserve">Moscow, but also on the possibility </w:t>
      </w:r>
      <w:r w:rsidR="00354BC2">
        <w:t>of</w:t>
      </w:r>
      <w:r>
        <w:t xml:space="preserve"> meet</w:t>
      </w:r>
      <w:r w:rsidR="00354BC2">
        <w:t>ing</w:t>
      </w:r>
      <w:r>
        <w:t xml:space="preserve"> with local</w:t>
      </w:r>
      <w:r w:rsidR="00354BC2">
        <w:t>ly</w:t>
      </w:r>
      <w:r>
        <w:t xml:space="preserve"> based lawyers and human rights </w:t>
      </w:r>
      <w:r w:rsidR="00D91D34">
        <w:t xml:space="preserve">defenders. Numerous complaints indicate that </w:t>
      </w:r>
      <w:r w:rsidR="00B4454C">
        <w:t>these</w:t>
      </w:r>
      <w:r w:rsidR="00D91D34">
        <w:t xml:space="preserve"> meetings with the applicants </w:t>
      </w:r>
      <w:r w:rsidR="00B4454C">
        <w:t>were</w:t>
      </w:r>
      <w:r w:rsidR="00D91D34">
        <w:t xml:space="preserve"> denied or made subject to</w:t>
      </w:r>
      <w:r w:rsidR="00354BC2">
        <w:t xml:space="preserve"> </w:t>
      </w:r>
      <w:r w:rsidR="00D91D34">
        <w:t xml:space="preserve">formalities that were difficult to overcome (see paragraph </w:t>
      </w:r>
      <w:r w:rsidR="00D91D34" w:rsidRPr="00F7005A">
        <w:t xml:space="preserve">39 </w:t>
      </w:r>
      <w:r w:rsidR="00F7005A" w:rsidRPr="00F7005A">
        <w:t xml:space="preserve">above </w:t>
      </w:r>
      <w:r w:rsidR="00D91D34" w:rsidRPr="00F7005A">
        <w:t xml:space="preserve">and </w:t>
      </w:r>
      <w:r w:rsidR="00F7005A">
        <w:t>further</w:t>
      </w:r>
      <w:r w:rsidR="00D91D34" w:rsidRPr="00F7005A">
        <w:t xml:space="preserve">). In particular, it </w:t>
      </w:r>
      <w:r w:rsidR="00813853" w:rsidRPr="00F7005A">
        <w:t xml:space="preserve">appears </w:t>
      </w:r>
      <w:r w:rsidR="00D91D34" w:rsidRPr="00F7005A">
        <w:t>from the letter</w:t>
      </w:r>
      <w:r w:rsidR="0035037B" w:rsidRPr="00F7005A">
        <w:t>s</w:t>
      </w:r>
      <w:r w:rsidR="00D91D34" w:rsidRPr="00F7005A">
        <w:t xml:space="preserve"> </w:t>
      </w:r>
      <w:r w:rsidR="007726BF" w:rsidRPr="00F7005A">
        <w:t xml:space="preserve">from </w:t>
      </w:r>
      <w:r w:rsidR="00D91D34" w:rsidRPr="00F7005A">
        <w:t>the detention centre</w:t>
      </w:r>
      <w:r w:rsidR="00B4454C" w:rsidRPr="00F7005A">
        <w:t xml:space="preserve"> that</w:t>
      </w:r>
      <w:r w:rsidR="00D91D34" w:rsidRPr="00F7005A">
        <w:t xml:space="preserve"> in order to have a meeting with a representative, both </w:t>
      </w:r>
      <w:r w:rsidR="00B4454C" w:rsidRPr="00F7005A">
        <w:t>an</w:t>
      </w:r>
      <w:r w:rsidR="00D91D34" w:rsidRPr="00F7005A">
        <w:t xml:space="preserve"> inmate and </w:t>
      </w:r>
      <w:r w:rsidR="00B4454C" w:rsidRPr="00F7005A">
        <w:t xml:space="preserve">his </w:t>
      </w:r>
      <w:r w:rsidR="00D91D34" w:rsidRPr="00F7005A">
        <w:t xml:space="preserve">representative have to lodge advance written </w:t>
      </w:r>
      <w:r w:rsidR="00922515" w:rsidRPr="00F7005A">
        <w:t xml:space="preserve">requests, which should </w:t>
      </w:r>
      <w:r w:rsidR="00B4454C" w:rsidRPr="00F7005A">
        <w:t>also</w:t>
      </w:r>
      <w:r w:rsidR="00922515" w:rsidRPr="00F7005A">
        <w:t xml:space="preserve"> be certified by a notary and drafted in the presence of an interpreter </w:t>
      </w:r>
      <w:r w:rsidR="00D91D34" w:rsidRPr="00F7005A">
        <w:t>(</w:t>
      </w:r>
      <w:r w:rsidR="00922515" w:rsidRPr="00F7005A">
        <w:t xml:space="preserve">see paragraph </w:t>
      </w:r>
      <w:r w:rsidR="00D91D34" w:rsidRPr="00F7005A">
        <w:t>41</w:t>
      </w:r>
      <w:r w:rsidR="00686BE5" w:rsidRPr="00F7005A">
        <w:t xml:space="preserve"> above</w:t>
      </w:r>
      <w:r w:rsidR="00D91D34" w:rsidRPr="00F7005A">
        <w:t>)</w:t>
      </w:r>
      <w:r w:rsidR="00922515" w:rsidRPr="00F7005A">
        <w:t xml:space="preserve">. These requirements were applied to a member of the bar, Mr P.K., who was refused access to the applicants on the basis of the </w:t>
      </w:r>
      <w:r w:rsidR="000E5BE5" w:rsidRPr="00F7005A">
        <w:t>engagement letter</w:t>
      </w:r>
      <w:r w:rsidR="00922515" w:rsidRPr="00F7005A">
        <w:t xml:space="preserve"> (see paragraph 50 above). </w:t>
      </w:r>
      <w:proofErr w:type="gramStart"/>
      <w:r w:rsidR="00922515" w:rsidRPr="00F7005A">
        <w:t xml:space="preserve">Attempts by </w:t>
      </w:r>
      <w:r w:rsidR="00625D44" w:rsidRPr="00F7005A">
        <w:t>Ms</w:t>
      </w:r>
      <w:r w:rsidR="002F3277" w:rsidRPr="00F7005A">
        <w:t> </w:t>
      </w:r>
      <w:proofErr w:type="spellStart"/>
      <w:r w:rsidR="00922515" w:rsidRPr="00F7005A">
        <w:t>Lyubov</w:t>
      </w:r>
      <w:proofErr w:type="spellEnd"/>
      <w:r w:rsidR="00922515" w:rsidRPr="00F7005A">
        <w:t xml:space="preserve"> M.-E.</w:t>
      </w:r>
      <w:proofErr w:type="gramEnd"/>
      <w:r w:rsidR="00922515" w:rsidRPr="00F7005A">
        <w:t xml:space="preserve"> </w:t>
      </w:r>
      <w:proofErr w:type="gramStart"/>
      <w:r w:rsidR="00922515" w:rsidRPr="00F7005A">
        <w:t>to</w:t>
      </w:r>
      <w:proofErr w:type="gramEnd"/>
      <w:r w:rsidR="00922515" w:rsidRPr="00F7005A">
        <w:t xml:space="preserve"> meet with the applicants were</w:t>
      </w:r>
      <w:r w:rsidR="00B4454C" w:rsidRPr="00F7005A">
        <w:t xml:space="preserve"> also</w:t>
      </w:r>
      <w:r w:rsidR="00922515" w:rsidRPr="00F7005A">
        <w:t xml:space="preserve"> rejected (see paragraphs 42 and 43 above). It also appears that the applicants were not</w:t>
      </w:r>
      <w:r w:rsidR="00922515">
        <w:t xml:space="preserve"> given access to</w:t>
      </w:r>
      <w:r w:rsidR="00B4454C">
        <w:t xml:space="preserve"> a</w:t>
      </w:r>
      <w:r w:rsidR="00922515">
        <w:t xml:space="preserve"> telephone and could not </w:t>
      </w:r>
      <w:r w:rsidR="00B4454C">
        <w:t xml:space="preserve">therefore </w:t>
      </w:r>
      <w:r w:rsidR="00922515">
        <w:t xml:space="preserve">communicate </w:t>
      </w:r>
      <w:r w:rsidR="00B4454C">
        <w:t xml:space="preserve">properly </w:t>
      </w:r>
      <w:r w:rsidR="00922515">
        <w:t>with their representatives.</w:t>
      </w:r>
    </w:p>
    <w:p w:rsidR="009E1BDD" w:rsidRDefault="00922515" w:rsidP="00922515">
      <w:pPr>
        <w:pStyle w:val="ECHRPara"/>
      </w:pPr>
      <w:r>
        <w:fldChar w:fldCharType="begin"/>
      </w:r>
      <w:r>
        <w:instrText xml:space="preserve"> SEQ level0 \*arabic </w:instrText>
      </w:r>
      <w:r>
        <w:fldChar w:fldCharType="separate"/>
      </w:r>
      <w:r w:rsidR="00D21AD2">
        <w:rPr>
          <w:noProof/>
        </w:rPr>
        <w:t>160</w:t>
      </w:r>
      <w:r>
        <w:fldChar w:fldCharType="end"/>
      </w:r>
      <w:r>
        <w:t xml:space="preserve">.  The Court </w:t>
      </w:r>
      <w:r w:rsidR="0094505E">
        <w:t>notes</w:t>
      </w:r>
      <w:r>
        <w:t xml:space="preserve"> the applicants</w:t>
      </w:r>
      <w:r w:rsidR="00BA3D89">
        <w:t>’</w:t>
      </w:r>
      <w:r>
        <w:t xml:space="preserve"> claim</w:t>
      </w:r>
      <w:r w:rsidR="00B4454C">
        <w:t xml:space="preserve"> that they had been</w:t>
      </w:r>
      <w:r>
        <w:t xml:space="preserve"> forced to sign </w:t>
      </w:r>
      <w:r w:rsidR="00845CDD">
        <w:t>statements</w:t>
      </w:r>
      <w:r>
        <w:t xml:space="preserve"> </w:t>
      </w:r>
      <w:r w:rsidR="000E5BE5">
        <w:t>withdrawing</w:t>
      </w:r>
      <w:r w:rsidR="00845CDD">
        <w:t xml:space="preserve"> their asylum </w:t>
      </w:r>
      <w:r w:rsidR="0094505E">
        <w:t xml:space="preserve">requests </w:t>
      </w:r>
      <w:r w:rsidR="00845CDD">
        <w:t>and contain</w:t>
      </w:r>
      <w:r w:rsidR="00B4454C">
        <w:t>ing</w:t>
      </w:r>
      <w:r w:rsidR="00845CDD">
        <w:t xml:space="preserve"> a refusal to meet with </w:t>
      </w:r>
      <w:r w:rsidR="00625D44">
        <w:t>Ms</w:t>
      </w:r>
      <w:r w:rsidR="00845CDD">
        <w:t xml:space="preserve"> </w:t>
      </w:r>
      <w:proofErr w:type="spellStart"/>
      <w:r w:rsidR="00845CDD">
        <w:t>Lyubov</w:t>
      </w:r>
      <w:proofErr w:type="spellEnd"/>
      <w:r w:rsidR="00845CDD">
        <w:t xml:space="preserve"> M.-E. (</w:t>
      </w:r>
      <w:proofErr w:type="gramStart"/>
      <w:r w:rsidR="00845CDD">
        <w:t>see</w:t>
      </w:r>
      <w:proofErr w:type="gramEnd"/>
      <w:r w:rsidR="00845CDD">
        <w:t xml:space="preserve"> </w:t>
      </w:r>
      <w:r w:rsidR="00845CDD" w:rsidRPr="00F7005A">
        <w:t>paragraphs 46 and 47</w:t>
      </w:r>
      <w:r w:rsidR="005A08C4" w:rsidRPr="00F7005A">
        <w:t xml:space="preserve"> above</w:t>
      </w:r>
      <w:r w:rsidR="00845CDD" w:rsidRPr="00F7005A">
        <w:t xml:space="preserve">). </w:t>
      </w:r>
      <w:r w:rsidR="00840A31" w:rsidRPr="00F7005A">
        <w:t>T</w:t>
      </w:r>
      <w:r w:rsidR="00845CDD" w:rsidRPr="00F7005A">
        <w:t xml:space="preserve">hese statements were </w:t>
      </w:r>
      <w:r w:rsidR="00D123FE" w:rsidRPr="00F7005A">
        <w:t>later</w:t>
      </w:r>
      <w:r w:rsidR="00B4454C" w:rsidRPr="00F7005A">
        <w:t xml:space="preserve"> </w:t>
      </w:r>
      <w:r w:rsidR="00586520" w:rsidRPr="00F7005A">
        <w:t>retracted</w:t>
      </w:r>
      <w:r w:rsidR="00845CDD" w:rsidRPr="00F7005A">
        <w:t xml:space="preserve"> by L.M. and </w:t>
      </w:r>
      <w:r w:rsidR="00807B20" w:rsidRPr="00F7005A">
        <w:t>M.A.</w:t>
      </w:r>
      <w:r w:rsidR="00845CDD" w:rsidRPr="00F7005A">
        <w:t xml:space="preserve"> as obtained under duress and without</w:t>
      </w:r>
      <w:r w:rsidR="00586520" w:rsidRPr="00F7005A">
        <w:t xml:space="preserve"> a</w:t>
      </w:r>
      <w:r w:rsidR="00845CDD" w:rsidRPr="00F7005A">
        <w:t xml:space="preserve"> proper interpret</w:t>
      </w:r>
      <w:r w:rsidR="00586520" w:rsidRPr="00F7005A">
        <w:t>er</w:t>
      </w:r>
      <w:r w:rsidR="00845CDD" w:rsidRPr="00F7005A">
        <w:t xml:space="preserve">; both applicants insisted that they </w:t>
      </w:r>
      <w:r w:rsidR="00B4454C" w:rsidRPr="00F7005A">
        <w:t xml:space="preserve">had </w:t>
      </w:r>
      <w:r w:rsidR="00845CDD" w:rsidRPr="00F7005A">
        <w:t xml:space="preserve">wanted their asylum requests to proceed and to </w:t>
      </w:r>
      <w:r w:rsidR="00F31D64" w:rsidRPr="00F7005A">
        <w:t>be</w:t>
      </w:r>
      <w:r w:rsidR="00840A31" w:rsidRPr="00F7005A">
        <w:t xml:space="preserve"> assist</w:t>
      </w:r>
      <w:r w:rsidR="00F31D64" w:rsidRPr="00F7005A">
        <w:t>ed</w:t>
      </w:r>
      <w:r w:rsidR="00845CDD" w:rsidRPr="00F7005A">
        <w:t xml:space="preserve"> </w:t>
      </w:r>
      <w:r w:rsidR="00F31D64" w:rsidRPr="00F7005A">
        <w:t>by</w:t>
      </w:r>
      <w:r w:rsidR="00845CDD" w:rsidRPr="00F7005A">
        <w:t xml:space="preserve"> </w:t>
      </w:r>
      <w:r w:rsidR="00625D44" w:rsidRPr="00F7005A">
        <w:t>Ms</w:t>
      </w:r>
      <w:r w:rsidR="00134A95">
        <w:t> </w:t>
      </w:r>
      <w:proofErr w:type="spellStart"/>
      <w:r w:rsidR="00134A95">
        <w:t>Lyubov</w:t>
      </w:r>
      <w:proofErr w:type="spellEnd"/>
      <w:r w:rsidR="00134A95">
        <w:t> </w:t>
      </w:r>
      <w:r w:rsidR="00845CDD" w:rsidRPr="00F7005A">
        <w:t>M.-E. (</w:t>
      </w:r>
      <w:proofErr w:type="gramStart"/>
      <w:r w:rsidR="00845CDD" w:rsidRPr="00F7005A">
        <w:t>see</w:t>
      </w:r>
      <w:proofErr w:type="gramEnd"/>
      <w:r w:rsidR="00845CDD" w:rsidRPr="00F7005A">
        <w:t xml:space="preserve"> paragraphs 48, 49</w:t>
      </w:r>
      <w:r w:rsidR="005A08C4" w:rsidRPr="00F7005A">
        <w:t xml:space="preserve"> and </w:t>
      </w:r>
      <w:r w:rsidR="00845CDD" w:rsidRPr="00F7005A">
        <w:t>52-55 above).</w:t>
      </w:r>
      <w:r w:rsidR="00DF24E7" w:rsidRPr="00F7005A">
        <w:t xml:space="preserve"> The</w:t>
      </w:r>
      <w:r w:rsidR="00DF24E7">
        <w:t xml:space="preserve"> Court re</w:t>
      </w:r>
      <w:r w:rsidR="00586520">
        <w:t>iterates</w:t>
      </w:r>
      <w:r w:rsidR="00DF24E7">
        <w:t xml:space="preserve"> that</w:t>
      </w:r>
      <w:r w:rsidR="00DF24E7" w:rsidRPr="00E83AD8">
        <w:t xml:space="preserve"> whether or not contact between the authorities and an applicant are tantamount to unacceptable practice from the standpoint of Article 34 must be determined in the light of the particular circumstances of the case. In this respect, regard must be had to the vulnerability of the complainant and his or her susceptibility to influence exerted by the authorities (see </w:t>
      </w:r>
      <w:proofErr w:type="spellStart"/>
      <w:r w:rsidR="00DF24E7" w:rsidRPr="00B668D2">
        <w:rPr>
          <w:i/>
        </w:rPr>
        <w:t>Knyazev</w:t>
      </w:r>
      <w:proofErr w:type="spellEnd"/>
      <w:r w:rsidR="00DF24E7" w:rsidRPr="00B668D2">
        <w:rPr>
          <w:i/>
        </w:rPr>
        <w:t xml:space="preserve"> v. Russia</w:t>
      </w:r>
      <w:r w:rsidR="00840A31">
        <w:t>, no. 25948/05, § </w:t>
      </w:r>
      <w:r w:rsidR="00DF24E7">
        <w:t>117</w:t>
      </w:r>
      <w:r w:rsidR="00DF24E7" w:rsidRPr="00B668D2">
        <w:t>, 8</w:t>
      </w:r>
      <w:r w:rsidR="002F3277">
        <w:t> </w:t>
      </w:r>
      <w:r w:rsidR="00DF24E7" w:rsidRPr="00B668D2">
        <w:t>November 2007</w:t>
      </w:r>
      <w:r w:rsidR="00840A31">
        <w:t>, with further references</w:t>
      </w:r>
      <w:r w:rsidR="00DF24E7" w:rsidRPr="00E83AD8">
        <w:t xml:space="preserve">). </w:t>
      </w:r>
      <w:r w:rsidR="000E5BE5" w:rsidRPr="00E83AD8">
        <w:t>An</w:t>
      </w:r>
      <w:r w:rsidR="00DF24E7" w:rsidRPr="00E83AD8">
        <w:t xml:space="preserve"> applicant</w:t>
      </w:r>
      <w:r w:rsidR="00BA3D89">
        <w:t>’</w:t>
      </w:r>
      <w:r w:rsidR="00DF24E7" w:rsidRPr="00E83AD8">
        <w:t xml:space="preserve">s position might be particularly vulnerable when he is held in custody </w:t>
      </w:r>
      <w:r w:rsidR="001563A0" w:rsidRPr="00E83AD8">
        <w:t>and has</w:t>
      </w:r>
      <w:r w:rsidR="00DF24E7" w:rsidRPr="00E83AD8">
        <w:t xml:space="preserve"> limited contact with his family or the outside world (see </w:t>
      </w:r>
      <w:proofErr w:type="spellStart"/>
      <w:r w:rsidR="00DF24E7" w:rsidRPr="00E83AD8">
        <w:rPr>
          <w:i/>
        </w:rPr>
        <w:t>Cotleţ</w:t>
      </w:r>
      <w:proofErr w:type="spellEnd"/>
      <w:r w:rsidR="00DF24E7" w:rsidRPr="00E83AD8">
        <w:rPr>
          <w:i/>
        </w:rPr>
        <w:t xml:space="preserve"> v. Romania</w:t>
      </w:r>
      <w:r w:rsidR="00DF24E7" w:rsidRPr="00E83AD8">
        <w:t>,</w:t>
      </w:r>
      <w:r w:rsidR="00DF24E7" w:rsidRPr="00E83AD8">
        <w:rPr>
          <w:i/>
        </w:rPr>
        <w:t xml:space="preserve"> </w:t>
      </w:r>
      <w:r w:rsidR="00DF24E7" w:rsidRPr="00E83AD8">
        <w:t xml:space="preserve">no. </w:t>
      </w:r>
      <w:r w:rsidR="00D966C7" w:rsidRPr="00DA5CB8">
        <w:t>38565/97</w:t>
      </w:r>
      <w:r w:rsidR="00DF24E7" w:rsidRPr="00E83AD8">
        <w:t>, §</w:t>
      </w:r>
      <w:r w:rsidR="002F3277" w:rsidRPr="00E83AD8">
        <w:t> </w:t>
      </w:r>
      <w:r w:rsidR="00134A95">
        <w:t>71, 3 </w:t>
      </w:r>
      <w:r w:rsidR="00DF24E7" w:rsidRPr="00E83AD8">
        <w:t>June 2003).</w:t>
      </w:r>
      <w:r w:rsidR="00840A31" w:rsidRPr="00E83AD8">
        <w:t xml:space="preserve"> </w:t>
      </w:r>
      <w:r w:rsidR="0028248F" w:rsidRPr="00E83AD8">
        <w:t xml:space="preserve">In addition to being in detention, the applicants in the present case have a very poor command of Russian and have no family or social network, which makes them particularly at risk to unacceptable practice. They complained that the statements in question, which had negative consequences on the proceedings which were of vital interest to them, had been obtained under duress. The Court notes with concern the absence of any meaningful reaction from the relevant authorities to these complaints raising serious allegations of </w:t>
      </w:r>
      <w:r w:rsidR="00F50453" w:rsidRPr="00E83AD8">
        <w:t xml:space="preserve">such </w:t>
      </w:r>
      <w:r w:rsidR="0028248F" w:rsidRPr="00E83AD8">
        <w:t>practice.</w:t>
      </w:r>
    </w:p>
    <w:p w:rsidR="009E1BDD" w:rsidRDefault="00C36D85" w:rsidP="00C36D85">
      <w:pPr>
        <w:pStyle w:val="ECHRPara"/>
      </w:pPr>
      <w:r>
        <w:fldChar w:fldCharType="begin"/>
      </w:r>
      <w:r>
        <w:instrText xml:space="preserve"> SEQ level0 \*arabic </w:instrText>
      </w:r>
      <w:r>
        <w:fldChar w:fldCharType="separate"/>
      </w:r>
      <w:r w:rsidR="00D21AD2">
        <w:rPr>
          <w:noProof/>
        </w:rPr>
        <w:t>161</w:t>
      </w:r>
      <w:r>
        <w:fldChar w:fldCharType="end"/>
      </w:r>
      <w:r>
        <w:t>.  </w:t>
      </w:r>
      <w:r w:rsidR="00F31D64">
        <w:t>To sum up</w:t>
      </w:r>
      <w:r>
        <w:t xml:space="preserve">, despite </w:t>
      </w:r>
      <w:r w:rsidR="00D123FE">
        <w:t>several</w:t>
      </w:r>
      <w:r>
        <w:t xml:space="preserve"> attempts to organise meetings, </w:t>
      </w:r>
      <w:r w:rsidR="00807B20">
        <w:t>M.A.</w:t>
      </w:r>
      <w:r>
        <w:t xml:space="preserve"> and L.M. </w:t>
      </w:r>
      <w:r w:rsidR="00586520">
        <w:t>only met once</w:t>
      </w:r>
      <w:r>
        <w:t xml:space="preserve"> with the</w:t>
      </w:r>
      <w:r w:rsidR="00F31D64">
        <w:t>ir representative</w:t>
      </w:r>
      <w:r w:rsidR="00586520">
        <w:t>,</w:t>
      </w:r>
      <w:r>
        <w:t xml:space="preserve"> on 17 December 2014. </w:t>
      </w:r>
      <w:r w:rsidR="00807B20">
        <w:t>M.A.</w:t>
      </w:r>
      <w:r>
        <w:t xml:space="preserve"> had one </w:t>
      </w:r>
      <w:r w:rsidR="00D123FE">
        <w:t xml:space="preserve">more </w:t>
      </w:r>
      <w:r>
        <w:t xml:space="preserve">meeting with his brother and </w:t>
      </w:r>
      <w:r w:rsidR="00586520">
        <w:t>sister-in-law</w:t>
      </w:r>
      <w:r>
        <w:t xml:space="preserve"> on 22 October 2014, which lasted about ten minutes. A.A. </w:t>
      </w:r>
      <w:r w:rsidR="00586520">
        <w:t>did</w:t>
      </w:r>
      <w:r>
        <w:t xml:space="preserve"> no</w:t>
      </w:r>
      <w:r w:rsidR="00586520">
        <w:t>t</w:t>
      </w:r>
      <w:r>
        <w:t xml:space="preserve"> meet with a representative prior to his escape from the detention centre (see </w:t>
      </w:r>
      <w:r>
        <w:lastRenderedPageBreak/>
        <w:t>para</w:t>
      </w:r>
      <w:r w:rsidR="00E45A39">
        <w:t>graph</w:t>
      </w:r>
      <w:r w:rsidR="00134A95">
        <w:t>s </w:t>
      </w:r>
      <w:r w:rsidRPr="00F7005A">
        <w:t>20-22</w:t>
      </w:r>
      <w:r w:rsidR="00E45A39" w:rsidRPr="00F7005A">
        <w:t xml:space="preserve"> and</w:t>
      </w:r>
      <w:r w:rsidRPr="00F7005A">
        <w:t xml:space="preserve"> 39 above).</w:t>
      </w:r>
      <w:r w:rsidR="00D123FE" w:rsidRPr="00F7005A">
        <w:t xml:space="preserve"> </w:t>
      </w:r>
      <w:r w:rsidR="00F31D64" w:rsidRPr="00F7005A">
        <w:t>It does not appear that</w:t>
      </w:r>
      <w:r w:rsidR="00D123FE" w:rsidRPr="00F7005A">
        <w:t xml:space="preserve"> </w:t>
      </w:r>
      <w:r w:rsidR="00F31D64" w:rsidRPr="00F7005A">
        <w:t>it was possible</w:t>
      </w:r>
      <w:r w:rsidR="00E45A39" w:rsidRPr="00F7005A">
        <w:t xml:space="preserve"> for the</w:t>
      </w:r>
      <w:r w:rsidR="00E45A39">
        <w:t xml:space="preserve"> applicants</w:t>
      </w:r>
      <w:r w:rsidR="00F31D64">
        <w:t xml:space="preserve"> to have </w:t>
      </w:r>
      <w:r w:rsidR="00E45A39">
        <w:t>tele</w:t>
      </w:r>
      <w:r w:rsidR="00D123FE">
        <w:t>phone</w:t>
      </w:r>
      <w:r w:rsidR="00F31D64">
        <w:t xml:space="preserve"> contact</w:t>
      </w:r>
      <w:r w:rsidR="00D123FE">
        <w:t xml:space="preserve"> or exchange written </w:t>
      </w:r>
      <w:r w:rsidR="0009610B">
        <w:t>submissions</w:t>
      </w:r>
      <w:r w:rsidR="00E45A39">
        <w:t>;</w:t>
      </w:r>
      <w:r w:rsidR="0009610B">
        <w:t xml:space="preserve"> in fact, it appears that such attempts had been actively prevented by the administration </w:t>
      </w:r>
      <w:r w:rsidR="00D123FE">
        <w:t xml:space="preserve">(see </w:t>
      </w:r>
      <w:r w:rsidR="00D123FE" w:rsidRPr="00F7005A">
        <w:t xml:space="preserve">paragraphs </w:t>
      </w:r>
      <w:r w:rsidR="0009610B" w:rsidRPr="00F7005A">
        <w:t>43 and 49</w:t>
      </w:r>
      <w:r w:rsidR="005A08C4" w:rsidRPr="00F7005A">
        <w:t xml:space="preserve"> above</w:t>
      </w:r>
      <w:r w:rsidR="00F40313">
        <w:t>,</w:t>
      </w:r>
      <w:r w:rsidR="0009610B" w:rsidRPr="00F7005A">
        <w:t xml:space="preserve"> </w:t>
      </w:r>
      <w:r w:rsidR="00D123FE" w:rsidRPr="00F7005A">
        <w:t>in particular</w:t>
      </w:r>
      <w:r w:rsidR="00D123FE">
        <w:t>).</w:t>
      </w:r>
    </w:p>
    <w:p w:rsidR="009E1BDD" w:rsidRDefault="00D123FE" w:rsidP="00113C2B">
      <w:pPr>
        <w:pStyle w:val="ECHRPara"/>
      </w:pPr>
      <w:r>
        <w:fldChar w:fldCharType="begin"/>
      </w:r>
      <w:r>
        <w:instrText xml:space="preserve"> SEQ level0 \*arabic </w:instrText>
      </w:r>
      <w:r>
        <w:fldChar w:fldCharType="separate"/>
      </w:r>
      <w:r w:rsidR="00D21AD2">
        <w:rPr>
          <w:noProof/>
        </w:rPr>
        <w:t>162</w:t>
      </w:r>
      <w:r>
        <w:fldChar w:fldCharType="end"/>
      </w:r>
      <w:r>
        <w:t>.  </w:t>
      </w:r>
      <w:r w:rsidR="0009610B">
        <w:t>In view of the above, t</w:t>
      </w:r>
      <w:r>
        <w:t xml:space="preserve">he Court </w:t>
      </w:r>
      <w:r w:rsidR="0009610B">
        <w:t>is satisfied</w:t>
      </w:r>
      <w:r>
        <w:t xml:space="preserve"> that there is sufficient evidence that the applicants</w:t>
      </w:r>
      <w:r w:rsidR="00BA3D89">
        <w:t>’</w:t>
      </w:r>
      <w:r>
        <w:t xml:space="preserve"> communication with their representatives was seriously obstructed. Obtaining permission to have meetings was so difficult that it went beyond the usual formalities and</w:t>
      </w:r>
      <w:r w:rsidR="0009610B">
        <w:t xml:space="preserve"> could be </w:t>
      </w:r>
      <w:r w:rsidR="00B15E17">
        <w:t>regarded</w:t>
      </w:r>
      <w:r w:rsidR="0009610B">
        <w:t xml:space="preserve"> as </w:t>
      </w:r>
      <w:r w:rsidR="00F31D64">
        <w:t xml:space="preserve">being </w:t>
      </w:r>
      <w:r w:rsidR="0009610B">
        <w:t>excessive</w:t>
      </w:r>
      <w:r w:rsidR="00F31D64">
        <w:t>ly complicated</w:t>
      </w:r>
      <w:r w:rsidR="0009610B">
        <w:t xml:space="preserve">; for months the applicants remained without any means </w:t>
      </w:r>
      <w:r w:rsidR="00B15E17">
        <w:t>of</w:t>
      </w:r>
      <w:r w:rsidR="0009610B">
        <w:t xml:space="preserve"> communicat</w:t>
      </w:r>
      <w:r w:rsidR="00B15E17">
        <w:t>ion</w:t>
      </w:r>
      <w:r w:rsidR="0009610B">
        <w:t xml:space="preserve"> with their representatives and could not </w:t>
      </w:r>
      <w:r w:rsidR="00B15E17">
        <w:t xml:space="preserve">therefore </w:t>
      </w:r>
      <w:r w:rsidR="0009610B">
        <w:t>effectively participate in the domestic proceedings or proceedings before this Court.</w:t>
      </w:r>
    </w:p>
    <w:p w:rsidR="00113C2B" w:rsidRPr="003407AB" w:rsidRDefault="0009610B" w:rsidP="00113C2B">
      <w:pPr>
        <w:pStyle w:val="ECHRPara"/>
      </w:pPr>
      <w:r>
        <w:fldChar w:fldCharType="begin"/>
      </w:r>
      <w:r>
        <w:instrText xml:space="preserve"> SEQ level0 \*arabic </w:instrText>
      </w:r>
      <w:r>
        <w:fldChar w:fldCharType="separate"/>
      </w:r>
      <w:r w:rsidR="00D21AD2">
        <w:rPr>
          <w:noProof/>
        </w:rPr>
        <w:t>163</w:t>
      </w:r>
      <w:r>
        <w:fldChar w:fldCharType="end"/>
      </w:r>
      <w:r>
        <w:t>.  </w:t>
      </w:r>
      <w:r w:rsidR="00113C2B" w:rsidRPr="003407AB">
        <w:t>In view of the foregoing, the Court considers that the restriction</w:t>
      </w:r>
      <w:r>
        <w:t>s o</w:t>
      </w:r>
      <w:r w:rsidR="00B15E17">
        <w:t>n</w:t>
      </w:r>
      <w:r>
        <w:t xml:space="preserve"> the applicant</w:t>
      </w:r>
      <w:r w:rsidR="00113C2B" w:rsidRPr="003407AB">
        <w:t>s</w:t>
      </w:r>
      <w:r w:rsidR="00BA3D89">
        <w:t>’</w:t>
      </w:r>
      <w:r w:rsidR="00113C2B" w:rsidRPr="003407AB">
        <w:t xml:space="preserve"> contact with </w:t>
      </w:r>
      <w:r>
        <w:t>their</w:t>
      </w:r>
      <w:r w:rsidR="00113C2B" w:rsidRPr="003407AB">
        <w:t xml:space="preserve"> representative</w:t>
      </w:r>
      <w:r w:rsidR="00B15E17">
        <w:t>s</w:t>
      </w:r>
      <w:r w:rsidR="00113C2B" w:rsidRPr="003407AB">
        <w:t xml:space="preserve"> constituted an interference with the exercise of </w:t>
      </w:r>
      <w:r>
        <w:t>their</w:t>
      </w:r>
      <w:r w:rsidR="00113C2B" w:rsidRPr="003407AB">
        <w:t xml:space="preserve"> right of individual petition which is incompatible with the respondent </w:t>
      </w:r>
      <w:r w:rsidR="00F34C8B">
        <w:t>State</w:t>
      </w:r>
      <w:r w:rsidR="00BA3D89">
        <w:t>’</w:t>
      </w:r>
      <w:r w:rsidR="00F34C8B">
        <w:t>s</w:t>
      </w:r>
      <w:r w:rsidR="00113C2B" w:rsidRPr="003407AB">
        <w:t xml:space="preserve"> obligations under Article 34 of the Convention. The Court therefore concludes that the respondent State has failed to comply with its obligations under</w:t>
      </w:r>
      <w:r w:rsidR="00B15E17">
        <w:t xml:space="preserve"> that provision</w:t>
      </w:r>
      <w:r w:rsidR="00113C2B" w:rsidRPr="003407AB">
        <w:t>.</w:t>
      </w:r>
    </w:p>
    <w:p w:rsidR="007A116E" w:rsidRPr="007A116E" w:rsidRDefault="00A13FB5" w:rsidP="00CF3927">
      <w:pPr>
        <w:pStyle w:val="ECHRHeading1"/>
      </w:pPr>
      <w:r>
        <w:t>VI</w:t>
      </w:r>
      <w:r w:rsidR="00014566" w:rsidRPr="00062973">
        <w:t>.</w:t>
      </w:r>
      <w:proofErr w:type="gramStart"/>
      <w:r w:rsidR="00014566" w:rsidRPr="00062973">
        <w:t>  </w:t>
      </w:r>
      <w:r w:rsidR="007A116E" w:rsidRPr="00CF3927">
        <w:t>APPLICATION</w:t>
      </w:r>
      <w:proofErr w:type="gramEnd"/>
      <w:r w:rsidR="007A116E" w:rsidRPr="007A116E">
        <w:t xml:space="preserve"> OF ARTICLES 46 AND 41 OF THE CONVENTION</w:t>
      </w:r>
    </w:p>
    <w:p w:rsidR="007A116E" w:rsidRPr="007A116E" w:rsidRDefault="002F3277" w:rsidP="007A116E">
      <w:pPr>
        <w:pStyle w:val="ECHRHeading2"/>
      </w:pPr>
      <w:r>
        <w:t>A.  </w:t>
      </w:r>
      <w:r w:rsidR="007A116E" w:rsidRPr="007A116E">
        <w:t>Article 46 of the Convention</w:t>
      </w:r>
    </w:p>
    <w:p w:rsidR="007A116E" w:rsidRPr="007A116E" w:rsidRDefault="0094505E" w:rsidP="007A116E">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164</w:t>
      </w:r>
      <w:r>
        <w:rPr>
          <w:rFonts w:asciiTheme="majorHAnsi" w:eastAsiaTheme="majorEastAsia" w:hAnsiTheme="majorHAnsi" w:cstheme="majorBidi"/>
          <w:bCs/>
          <w:szCs w:val="28"/>
        </w:rPr>
        <w:fldChar w:fldCharType="end"/>
      </w:r>
      <w:r>
        <w:rPr>
          <w:rFonts w:asciiTheme="majorHAnsi" w:eastAsiaTheme="majorEastAsia" w:hAnsiTheme="majorHAnsi" w:cstheme="majorBidi"/>
          <w:bCs/>
          <w:szCs w:val="28"/>
        </w:rPr>
        <w:t>.  </w:t>
      </w:r>
      <w:r w:rsidR="007A116E" w:rsidRPr="007A116E">
        <w:rPr>
          <w:rFonts w:asciiTheme="majorHAnsi" w:eastAsiaTheme="majorEastAsia" w:hAnsiTheme="majorHAnsi" w:cstheme="majorBidi"/>
          <w:bCs/>
          <w:szCs w:val="28"/>
        </w:rPr>
        <w:t xml:space="preserve">The </w:t>
      </w:r>
      <w:r w:rsidR="007A116E" w:rsidRPr="00E83AD8">
        <w:t>relevant</w:t>
      </w:r>
      <w:r w:rsidR="007A116E" w:rsidRPr="007A116E">
        <w:rPr>
          <w:rFonts w:asciiTheme="majorHAnsi" w:eastAsiaTheme="majorEastAsia" w:hAnsiTheme="majorHAnsi" w:cstheme="majorBidi"/>
          <w:bCs/>
          <w:szCs w:val="28"/>
        </w:rPr>
        <w:t xml:space="preserve"> parts of Article 46 of the Convention read as follows:</w:t>
      </w:r>
    </w:p>
    <w:p w:rsidR="007A116E" w:rsidRPr="007A116E" w:rsidRDefault="00943B86" w:rsidP="00943B86">
      <w:pPr>
        <w:pStyle w:val="ECHRParaQuote"/>
        <w:rPr>
          <w:rFonts w:eastAsiaTheme="majorEastAsia"/>
        </w:rPr>
      </w:pPr>
      <w:r>
        <w:rPr>
          <w:rFonts w:eastAsiaTheme="majorEastAsia"/>
        </w:rPr>
        <w:t>“1.</w:t>
      </w:r>
      <w:proofErr w:type="gramStart"/>
      <w:r>
        <w:rPr>
          <w:rFonts w:eastAsiaTheme="majorEastAsia"/>
        </w:rPr>
        <w:t>  </w:t>
      </w:r>
      <w:r w:rsidR="007A116E" w:rsidRPr="007A116E">
        <w:rPr>
          <w:rFonts w:eastAsiaTheme="majorEastAsia"/>
        </w:rPr>
        <w:t>The</w:t>
      </w:r>
      <w:proofErr w:type="gramEnd"/>
      <w:r w:rsidR="007A116E" w:rsidRPr="007A116E">
        <w:rPr>
          <w:rFonts w:eastAsiaTheme="majorEastAsia"/>
        </w:rPr>
        <w:t xml:space="preserve"> High Contracting Parties undertake to abide by the final judgment of the Court in any case to which they are parties.</w:t>
      </w:r>
    </w:p>
    <w:p w:rsidR="007A116E" w:rsidRPr="007A116E" w:rsidRDefault="00943B86" w:rsidP="00943B86">
      <w:pPr>
        <w:pStyle w:val="ECHRParaQuote"/>
        <w:rPr>
          <w:rFonts w:eastAsiaTheme="majorEastAsia"/>
        </w:rPr>
      </w:pPr>
      <w:r>
        <w:rPr>
          <w:rFonts w:eastAsiaTheme="majorEastAsia"/>
        </w:rPr>
        <w:t>2.</w:t>
      </w:r>
      <w:proofErr w:type="gramStart"/>
      <w:r>
        <w:rPr>
          <w:rFonts w:eastAsiaTheme="majorEastAsia"/>
        </w:rPr>
        <w:t>  </w:t>
      </w:r>
      <w:r w:rsidR="007A116E" w:rsidRPr="007A116E">
        <w:rPr>
          <w:rFonts w:eastAsiaTheme="majorEastAsia"/>
        </w:rPr>
        <w:t>The</w:t>
      </w:r>
      <w:proofErr w:type="gramEnd"/>
      <w:r w:rsidR="007A116E" w:rsidRPr="007A116E">
        <w:rPr>
          <w:rFonts w:eastAsiaTheme="majorEastAsia"/>
        </w:rPr>
        <w:t xml:space="preserve"> final judgment of the Court shall be transmitted to the Committee of Ministers, which shall supervise its execution.”</w:t>
      </w:r>
    </w:p>
    <w:p w:rsidR="007A116E" w:rsidRPr="007A116E" w:rsidRDefault="007A116E" w:rsidP="007A116E">
      <w:pPr>
        <w:pStyle w:val="ECHRPara"/>
        <w:rPr>
          <w:rFonts w:asciiTheme="majorHAnsi" w:eastAsiaTheme="majorEastAsia" w:hAnsiTheme="majorHAnsi" w:cstheme="majorBidi"/>
          <w:bCs/>
          <w:szCs w:val="28"/>
        </w:rPr>
      </w:pPr>
      <w:r>
        <w:fldChar w:fldCharType="begin"/>
      </w:r>
      <w:r>
        <w:instrText xml:space="preserve"> SEQ level0 \*arabic </w:instrText>
      </w:r>
      <w:r>
        <w:fldChar w:fldCharType="separate"/>
      </w:r>
      <w:r w:rsidR="00D21AD2">
        <w:rPr>
          <w:noProof/>
        </w:rPr>
        <w:t>165</w:t>
      </w:r>
      <w:r>
        <w:fldChar w:fldCharType="end"/>
      </w:r>
      <w:r>
        <w:t>.  </w:t>
      </w:r>
      <w:r w:rsidRPr="007A116E">
        <w:rPr>
          <w:rFonts w:asciiTheme="majorHAnsi" w:eastAsiaTheme="majorEastAsia" w:hAnsiTheme="majorHAnsi" w:cstheme="majorBidi"/>
          <w:bCs/>
          <w:szCs w:val="28"/>
        </w:rPr>
        <w:t xml:space="preserve">The Court reiterates that by Article 46 of the Convention the Contracting Parties have undertaken to abide by the final judgments of the Court in any case to which they are parties, execution being supervised by the Committee of Ministers. It follows, </w:t>
      </w:r>
      <w:r w:rsidRPr="00DA5CB8">
        <w:rPr>
          <w:rFonts w:asciiTheme="majorHAnsi" w:eastAsiaTheme="majorEastAsia" w:hAnsiTheme="majorHAnsi" w:cstheme="majorBidi"/>
          <w:bCs/>
          <w:i/>
          <w:szCs w:val="28"/>
        </w:rPr>
        <w:t>inter alia</w:t>
      </w:r>
      <w:r w:rsidRPr="007A116E">
        <w:rPr>
          <w:rFonts w:asciiTheme="majorHAnsi" w:eastAsiaTheme="majorEastAsia" w:hAnsiTheme="majorHAnsi" w:cstheme="majorBidi"/>
          <w:bCs/>
          <w:szCs w:val="28"/>
        </w:rPr>
        <w:t xml:space="preserve">, that a judgment in which the Court finds a breach of the Convention or the Protocols thereto imposes on the respondent State a legal obligation not just to pay those concerned the sums awarded by way of just satisfaction, but also </w:t>
      </w:r>
      <w:r w:rsidRPr="00E83AD8">
        <w:t>to</w:t>
      </w:r>
      <w:r w:rsidRPr="007A116E">
        <w:rPr>
          <w:rFonts w:asciiTheme="majorHAnsi" w:eastAsiaTheme="majorEastAsia" w:hAnsiTheme="majorHAnsi" w:cstheme="majorBidi"/>
          <w:bCs/>
          <w:szCs w:val="28"/>
        </w:rPr>
        <w:t xml:space="preserve"> choose, subject to supervision by the Committee of Ministers, the general and/or, if appropriate, individual measures to be adopted in their domestic legal order to put an end to the violation found by the Court and to redress as far as possible the effects (see </w:t>
      </w:r>
      <w:proofErr w:type="spellStart"/>
      <w:r w:rsidRPr="007A116E">
        <w:rPr>
          <w:rFonts w:asciiTheme="majorHAnsi" w:eastAsiaTheme="majorEastAsia" w:hAnsiTheme="majorHAnsi" w:cstheme="majorBidi"/>
          <w:bCs/>
          <w:i/>
          <w:szCs w:val="28"/>
        </w:rPr>
        <w:t>Menteş</w:t>
      </w:r>
      <w:proofErr w:type="spellEnd"/>
      <w:r w:rsidRPr="007A116E">
        <w:rPr>
          <w:rFonts w:asciiTheme="majorHAnsi" w:eastAsiaTheme="majorEastAsia" w:hAnsiTheme="majorHAnsi" w:cstheme="majorBidi"/>
          <w:bCs/>
          <w:i/>
          <w:szCs w:val="28"/>
        </w:rPr>
        <w:t xml:space="preserve"> and Others v. Turkey</w:t>
      </w:r>
      <w:r w:rsidR="00134A95">
        <w:rPr>
          <w:rFonts w:asciiTheme="majorHAnsi" w:eastAsiaTheme="majorEastAsia" w:hAnsiTheme="majorHAnsi" w:cstheme="majorBidi"/>
          <w:bCs/>
          <w:szCs w:val="28"/>
        </w:rPr>
        <w:t xml:space="preserve"> (Article 50), 24 </w:t>
      </w:r>
      <w:r w:rsidRPr="007A116E">
        <w:rPr>
          <w:rFonts w:asciiTheme="majorHAnsi" w:eastAsiaTheme="majorEastAsia" w:hAnsiTheme="majorHAnsi" w:cstheme="majorBidi"/>
          <w:bCs/>
          <w:szCs w:val="28"/>
        </w:rPr>
        <w:t xml:space="preserve">July 1998, § 24, </w:t>
      </w:r>
      <w:r w:rsidRPr="00DA5CB8">
        <w:rPr>
          <w:rFonts w:asciiTheme="majorHAnsi" w:eastAsiaTheme="majorEastAsia" w:hAnsiTheme="majorHAnsi" w:cstheme="majorBidi"/>
          <w:bCs/>
          <w:i/>
          <w:szCs w:val="28"/>
        </w:rPr>
        <w:t>Reports</w:t>
      </w:r>
      <w:r w:rsidRPr="007A116E">
        <w:rPr>
          <w:rFonts w:asciiTheme="majorHAnsi" w:eastAsiaTheme="majorEastAsia" w:hAnsiTheme="majorHAnsi" w:cstheme="majorBidi"/>
          <w:bCs/>
          <w:szCs w:val="28"/>
        </w:rPr>
        <w:t xml:space="preserve"> 1998-IV; </w:t>
      </w:r>
      <w:proofErr w:type="spellStart"/>
      <w:r w:rsidRPr="007A116E">
        <w:rPr>
          <w:rFonts w:asciiTheme="majorHAnsi" w:eastAsiaTheme="majorEastAsia" w:hAnsiTheme="majorHAnsi" w:cstheme="majorBidi"/>
          <w:bCs/>
          <w:i/>
          <w:szCs w:val="28"/>
        </w:rPr>
        <w:t>Scozzari</w:t>
      </w:r>
      <w:proofErr w:type="spellEnd"/>
      <w:r w:rsidRPr="007A116E">
        <w:rPr>
          <w:rFonts w:asciiTheme="majorHAnsi" w:eastAsiaTheme="majorEastAsia" w:hAnsiTheme="majorHAnsi" w:cstheme="majorBidi"/>
          <w:bCs/>
          <w:i/>
          <w:szCs w:val="28"/>
        </w:rPr>
        <w:t xml:space="preserve"> and </w:t>
      </w:r>
      <w:proofErr w:type="spellStart"/>
      <w:r w:rsidRPr="007A116E">
        <w:rPr>
          <w:rFonts w:asciiTheme="majorHAnsi" w:eastAsiaTheme="majorEastAsia" w:hAnsiTheme="majorHAnsi" w:cstheme="majorBidi"/>
          <w:bCs/>
          <w:i/>
          <w:szCs w:val="28"/>
        </w:rPr>
        <w:t>Giunta</w:t>
      </w:r>
      <w:proofErr w:type="spellEnd"/>
      <w:r w:rsidRPr="007A116E">
        <w:rPr>
          <w:rFonts w:asciiTheme="majorHAnsi" w:eastAsiaTheme="majorEastAsia" w:hAnsiTheme="majorHAnsi" w:cstheme="majorBidi"/>
          <w:bCs/>
          <w:i/>
          <w:szCs w:val="28"/>
        </w:rPr>
        <w:t xml:space="preserve"> v. Italy</w:t>
      </w:r>
      <w:r w:rsidRPr="007A116E">
        <w:rPr>
          <w:rFonts w:asciiTheme="majorHAnsi" w:eastAsiaTheme="majorEastAsia" w:hAnsiTheme="majorHAnsi" w:cstheme="majorBidi"/>
          <w:bCs/>
          <w:szCs w:val="28"/>
        </w:rPr>
        <w:t xml:space="preserve"> [GC], nos.</w:t>
      </w:r>
      <w:r w:rsidR="002F3277">
        <w:rPr>
          <w:rFonts w:asciiTheme="majorHAnsi" w:eastAsiaTheme="majorEastAsia" w:hAnsiTheme="majorHAnsi" w:cstheme="majorBidi"/>
          <w:bCs/>
          <w:szCs w:val="28"/>
        </w:rPr>
        <w:t> </w:t>
      </w:r>
      <w:r w:rsidR="00FA70D4" w:rsidRPr="00DA5CB8">
        <w:t>39221/98</w:t>
      </w:r>
      <w:r w:rsidRPr="007A116E">
        <w:rPr>
          <w:rFonts w:asciiTheme="majorHAnsi" w:eastAsiaTheme="majorEastAsia" w:hAnsiTheme="majorHAnsi" w:cstheme="majorBidi"/>
          <w:bCs/>
          <w:szCs w:val="28"/>
        </w:rPr>
        <w:t xml:space="preserve"> and </w:t>
      </w:r>
      <w:r w:rsidR="00FA70D4" w:rsidRPr="00DA5CB8">
        <w:t>41963/98</w:t>
      </w:r>
      <w:r w:rsidRPr="007A116E">
        <w:rPr>
          <w:rFonts w:asciiTheme="majorHAnsi" w:eastAsiaTheme="majorEastAsia" w:hAnsiTheme="majorHAnsi" w:cstheme="majorBidi"/>
          <w:bCs/>
          <w:szCs w:val="28"/>
        </w:rPr>
        <w:t xml:space="preserve">, § 249, ECHR 2000-VIII; and </w:t>
      </w:r>
      <w:r w:rsidR="00134A95">
        <w:rPr>
          <w:rFonts w:asciiTheme="majorHAnsi" w:eastAsiaTheme="majorEastAsia" w:hAnsiTheme="majorHAnsi" w:cstheme="majorBidi"/>
          <w:bCs/>
          <w:i/>
          <w:szCs w:val="28"/>
        </w:rPr>
        <w:t>Maestri v. </w:t>
      </w:r>
      <w:r w:rsidRPr="007A116E">
        <w:rPr>
          <w:rFonts w:asciiTheme="majorHAnsi" w:eastAsiaTheme="majorEastAsia" w:hAnsiTheme="majorHAnsi" w:cstheme="majorBidi"/>
          <w:bCs/>
          <w:i/>
          <w:szCs w:val="28"/>
        </w:rPr>
        <w:t>Italy</w:t>
      </w:r>
      <w:r w:rsidRPr="007A116E">
        <w:rPr>
          <w:rFonts w:asciiTheme="majorHAnsi" w:eastAsiaTheme="majorEastAsia" w:hAnsiTheme="majorHAnsi" w:cstheme="majorBidi"/>
          <w:bCs/>
          <w:szCs w:val="28"/>
        </w:rPr>
        <w:t xml:space="preserve"> [GC], no. </w:t>
      </w:r>
      <w:r w:rsidR="00FA70D4" w:rsidRPr="00DA5CB8">
        <w:t>39748/98</w:t>
      </w:r>
      <w:r w:rsidRPr="007A116E">
        <w:rPr>
          <w:rFonts w:asciiTheme="majorHAnsi" w:eastAsiaTheme="majorEastAsia" w:hAnsiTheme="majorHAnsi" w:cstheme="majorBidi"/>
          <w:bCs/>
          <w:szCs w:val="28"/>
        </w:rPr>
        <w:t xml:space="preserve">, § 47, ECHR 2004-I). It is primarily for the State concerned to choose, subject to supervision by the Committee of Ministers, </w:t>
      </w:r>
      <w:r w:rsidRPr="007A116E">
        <w:rPr>
          <w:rFonts w:asciiTheme="majorHAnsi" w:eastAsiaTheme="majorEastAsia" w:hAnsiTheme="majorHAnsi" w:cstheme="majorBidi"/>
          <w:bCs/>
          <w:szCs w:val="28"/>
        </w:rPr>
        <w:lastRenderedPageBreak/>
        <w:t xml:space="preserve">the means to be used in its domestic legal order to discharge its obligation under Article 46 of the Convention (see </w:t>
      </w:r>
      <w:proofErr w:type="spellStart"/>
      <w:r w:rsidRPr="007A116E">
        <w:rPr>
          <w:rFonts w:asciiTheme="majorHAnsi" w:eastAsiaTheme="majorEastAsia" w:hAnsiTheme="majorHAnsi" w:cstheme="majorBidi"/>
          <w:bCs/>
          <w:i/>
          <w:szCs w:val="28"/>
        </w:rPr>
        <w:t>Scozzari</w:t>
      </w:r>
      <w:proofErr w:type="spellEnd"/>
      <w:r w:rsidRPr="007A116E">
        <w:rPr>
          <w:rFonts w:asciiTheme="majorHAnsi" w:eastAsiaTheme="majorEastAsia" w:hAnsiTheme="majorHAnsi" w:cstheme="majorBidi"/>
          <w:bCs/>
          <w:i/>
          <w:szCs w:val="28"/>
        </w:rPr>
        <w:t xml:space="preserve"> and </w:t>
      </w:r>
      <w:proofErr w:type="spellStart"/>
      <w:r w:rsidRPr="007A116E">
        <w:rPr>
          <w:rFonts w:asciiTheme="majorHAnsi" w:eastAsiaTheme="majorEastAsia" w:hAnsiTheme="majorHAnsi" w:cstheme="majorBidi"/>
          <w:bCs/>
          <w:i/>
          <w:szCs w:val="28"/>
        </w:rPr>
        <w:t>Giunta</w:t>
      </w:r>
      <w:proofErr w:type="spellEnd"/>
      <w:r w:rsidRPr="007A116E">
        <w:rPr>
          <w:rFonts w:asciiTheme="majorHAnsi" w:eastAsiaTheme="majorEastAsia" w:hAnsiTheme="majorHAnsi" w:cstheme="majorBidi"/>
          <w:bCs/>
          <w:szCs w:val="28"/>
        </w:rPr>
        <w:t xml:space="preserve">, cited above; </w:t>
      </w:r>
      <w:proofErr w:type="spellStart"/>
      <w:r w:rsidRPr="007A116E">
        <w:rPr>
          <w:rFonts w:asciiTheme="majorHAnsi" w:eastAsiaTheme="majorEastAsia" w:hAnsiTheme="majorHAnsi" w:cstheme="majorBidi"/>
          <w:bCs/>
          <w:i/>
          <w:szCs w:val="28"/>
        </w:rPr>
        <w:t>Brumărescu</w:t>
      </w:r>
      <w:proofErr w:type="spellEnd"/>
      <w:r w:rsidRPr="007A116E">
        <w:rPr>
          <w:rFonts w:asciiTheme="majorHAnsi" w:eastAsiaTheme="majorEastAsia" w:hAnsiTheme="majorHAnsi" w:cstheme="majorBidi"/>
          <w:bCs/>
          <w:i/>
          <w:szCs w:val="28"/>
        </w:rPr>
        <w:t xml:space="preserve"> v. Romania</w:t>
      </w:r>
      <w:r w:rsidRPr="007A116E">
        <w:rPr>
          <w:rFonts w:asciiTheme="majorHAnsi" w:eastAsiaTheme="majorEastAsia" w:hAnsiTheme="majorHAnsi" w:cstheme="majorBidi"/>
          <w:bCs/>
          <w:szCs w:val="28"/>
        </w:rPr>
        <w:t xml:space="preserve"> (just satisfaction) [GC], no. </w:t>
      </w:r>
      <w:r w:rsidR="00FA70D4" w:rsidRPr="00DA5CB8">
        <w:t>28342/95</w:t>
      </w:r>
      <w:r w:rsidR="00134A95">
        <w:rPr>
          <w:rFonts w:asciiTheme="majorHAnsi" w:eastAsiaTheme="majorEastAsia" w:hAnsiTheme="majorHAnsi" w:cstheme="majorBidi"/>
          <w:bCs/>
          <w:szCs w:val="28"/>
        </w:rPr>
        <w:t>, § 20, ECHR </w:t>
      </w:r>
      <w:r w:rsidRPr="007A116E">
        <w:rPr>
          <w:rFonts w:asciiTheme="majorHAnsi" w:eastAsiaTheme="majorEastAsia" w:hAnsiTheme="majorHAnsi" w:cstheme="majorBidi"/>
          <w:bCs/>
          <w:szCs w:val="28"/>
        </w:rPr>
        <w:t xml:space="preserve">2001-I; and </w:t>
      </w:r>
      <w:proofErr w:type="spellStart"/>
      <w:r w:rsidRPr="007A116E">
        <w:rPr>
          <w:rFonts w:asciiTheme="majorHAnsi" w:eastAsiaTheme="majorEastAsia" w:hAnsiTheme="majorHAnsi" w:cstheme="majorBidi"/>
          <w:bCs/>
          <w:i/>
          <w:szCs w:val="28"/>
        </w:rPr>
        <w:t>Öcalan</w:t>
      </w:r>
      <w:proofErr w:type="spellEnd"/>
      <w:r w:rsidRPr="007A116E">
        <w:rPr>
          <w:rFonts w:asciiTheme="majorHAnsi" w:eastAsiaTheme="majorEastAsia" w:hAnsiTheme="majorHAnsi" w:cstheme="majorBidi"/>
          <w:bCs/>
          <w:i/>
          <w:szCs w:val="28"/>
        </w:rPr>
        <w:t xml:space="preserve"> v. Turkey</w:t>
      </w:r>
      <w:r w:rsidRPr="007A116E">
        <w:rPr>
          <w:rFonts w:asciiTheme="majorHAnsi" w:eastAsiaTheme="majorEastAsia" w:hAnsiTheme="majorHAnsi" w:cstheme="majorBidi"/>
          <w:bCs/>
          <w:szCs w:val="28"/>
        </w:rPr>
        <w:t xml:space="preserve"> [GC], no. </w:t>
      </w:r>
      <w:r w:rsidR="00FA70D4" w:rsidRPr="00DA5CB8">
        <w:t>46221/99</w:t>
      </w:r>
      <w:r w:rsidR="00134A95">
        <w:rPr>
          <w:rFonts w:asciiTheme="majorHAnsi" w:eastAsiaTheme="majorEastAsia" w:hAnsiTheme="majorHAnsi" w:cstheme="majorBidi"/>
          <w:bCs/>
          <w:szCs w:val="28"/>
        </w:rPr>
        <w:t>, § 210, ECHR </w:t>
      </w:r>
      <w:r w:rsidRPr="007A116E">
        <w:rPr>
          <w:rFonts w:asciiTheme="majorHAnsi" w:eastAsiaTheme="majorEastAsia" w:hAnsiTheme="majorHAnsi" w:cstheme="majorBidi"/>
          <w:bCs/>
          <w:szCs w:val="28"/>
        </w:rPr>
        <w:t>2005-IV).</w:t>
      </w:r>
    </w:p>
    <w:p w:rsidR="007A116E" w:rsidRDefault="00D00AAB" w:rsidP="005459F1">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166</w:t>
      </w:r>
      <w:r>
        <w:rPr>
          <w:rFonts w:asciiTheme="majorHAnsi" w:eastAsiaTheme="majorEastAsia" w:hAnsiTheme="majorHAnsi" w:cstheme="majorBidi"/>
          <w:bCs/>
          <w:szCs w:val="28"/>
        </w:rPr>
        <w:fldChar w:fldCharType="end"/>
      </w:r>
      <w:r>
        <w:rPr>
          <w:rFonts w:asciiTheme="majorHAnsi" w:eastAsiaTheme="majorEastAsia" w:hAnsiTheme="majorHAnsi" w:cstheme="majorBidi"/>
          <w:bCs/>
          <w:szCs w:val="28"/>
        </w:rPr>
        <w:t>.  </w:t>
      </w:r>
      <w:r w:rsidR="007A116E" w:rsidRPr="007A116E">
        <w:rPr>
          <w:rFonts w:asciiTheme="majorHAnsi" w:eastAsiaTheme="majorEastAsia" w:hAnsiTheme="majorHAnsi" w:cstheme="majorBidi"/>
          <w:bCs/>
          <w:szCs w:val="28"/>
        </w:rPr>
        <w:t xml:space="preserve">However, with a view to helping the respondent State to fulfil its obligations under Article 46, the Court may seek to indicate the type of individual and/or general measures that might be taken in order to put an end to the situation it has found to exist (see </w:t>
      </w:r>
      <w:proofErr w:type="spellStart"/>
      <w:r w:rsidR="007A116E" w:rsidRPr="005459F1">
        <w:rPr>
          <w:rFonts w:asciiTheme="majorHAnsi" w:eastAsiaTheme="majorEastAsia" w:hAnsiTheme="majorHAnsi" w:cstheme="majorBidi"/>
          <w:bCs/>
          <w:i/>
          <w:szCs w:val="28"/>
        </w:rPr>
        <w:t>Broniowski</w:t>
      </w:r>
      <w:proofErr w:type="spellEnd"/>
      <w:r w:rsidR="007A116E" w:rsidRPr="005459F1">
        <w:rPr>
          <w:rFonts w:asciiTheme="majorHAnsi" w:eastAsiaTheme="majorEastAsia" w:hAnsiTheme="majorHAnsi" w:cstheme="majorBidi"/>
          <w:bCs/>
          <w:i/>
          <w:szCs w:val="28"/>
        </w:rPr>
        <w:t xml:space="preserve"> v. Poland</w:t>
      </w:r>
      <w:r w:rsidR="005459F1">
        <w:rPr>
          <w:rFonts w:asciiTheme="majorHAnsi" w:eastAsiaTheme="majorEastAsia" w:hAnsiTheme="majorHAnsi" w:cstheme="majorBidi"/>
          <w:bCs/>
          <w:szCs w:val="28"/>
        </w:rPr>
        <w:t xml:space="preserve"> [GC], no. </w:t>
      </w:r>
      <w:r w:rsidR="000341A9" w:rsidRPr="00DA5CB8">
        <w:t>31443/96</w:t>
      </w:r>
      <w:r w:rsidR="007A116E" w:rsidRPr="007A116E">
        <w:rPr>
          <w:rFonts w:asciiTheme="majorHAnsi" w:eastAsiaTheme="majorEastAsia" w:hAnsiTheme="majorHAnsi" w:cstheme="majorBidi"/>
          <w:bCs/>
          <w:szCs w:val="28"/>
        </w:rPr>
        <w:t xml:space="preserve">, § 194, ECHR 2004-V, and </w:t>
      </w:r>
      <w:proofErr w:type="spellStart"/>
      <w:r w:rsidR="007A116E" w:rsidRPr="005459F1">
        <w:rPr>
          <w:rFonts w:asciiTheme="majorHAnsi" w:eastAsiaTheme="majorEastAsia" w:hAnsiTheme="majorHAnsi" w:cstheme="majorBidi"/>
          <w:bCs/>
          <w:i/>
          <w:szCs w:val="28"/>
        </w:rPr>
        <w:t>Scoppola</w:t>
      </w:r>
      <w:proofErr w:type="spellEnd"/>
      <w:r w:rsidR="007A116E" w:rsidRPr="005459F1">
        <w:rPr>
          <w:rFonts w:asciiTheme="majorHAnsi" w:eastAsiaTheme="majorEastAsia" w:hAnsiTheme="majorHAnsi" w:cstheme="majorBidi"/>
          <w:bCs/>
          <w:i/>
          <w:szCs w:val="28"/>
        </w:rPr>
        <w:t xml:space="preserve"> v. Italy</w:t>
      </w:r>
      <w:r w:rsidR="005459F1">
        <w:rPr>
          <w:rFonts w:asciiTheme="majorHAnsi" w:eastAsiaTheme="majorEastAsia" w:hAnsiTheme="majorHAnsi" w:cstheme="majorBidi"/>
          <w:bCs/>
          <w:szCs w:val="28"/>
        </w:rPr>
        <w:t xml:space="preserve"> (no. 2) [GC], no. </w:t>
      </w:r>
      <w:r w:rsidR="000341A9" w:rsidRPr="00DA5CB8">
        <w:t>10249/03</w:t>
      </w:r>
      <w:r w:rsidR="007A116E" w:rsidRPr="007A116E">
        <w:rPr>
          <w:rFonts w:asciiTheme="majorHAnsi" w:eastAsiaTheme="majorEastAsia" w:hAnsiTheme="majorHAnsi" w:cstheme="majorBidi"/>
          <w:bCs/>
          <w:szCs w:val="28"/>
        </w:rPr>
        <w:t>, § 148, 17 September 2009).</w:t>
      </w:r>
    </w:p>
    <w:p w:rsidR="00D00AAB" w:rsidRPr="00E83AD8" w:rsidRDefault="00D00AAB" w:rsidP="005459F1">
      <w:pPr>
        <w:pStyle w:val="ECHRPara"/>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167</w:t>
      </w:r>
      <w:r>
        <w:rPr>
          <w:rFonts w:asciiTheme="majorHAnsi" w:eastAsiaTheme="majorEastAsia" w:hAnsiTheme="majorHAnsi" w:cstheme="majorBidi"/>
          <w:bCs/>
          <w:szCs w:val="28"/>
        </w:rPr>
        <w:fldChar w:fldCharType="end"/>
      </w:r>
      <w:r>
        <w:rPr>
          <w:rFonts w:asciiTheme="majorHAnsi" w:eastAsiaTheme="majorEastAsia" w:hAnsiTheme="majorHAnsi" w:cstheme="majorBidi"/>
          <w:bCs/>
          <w:szCs w:val="28"/>
        </w:rPr>
        <w:t>.  </w:t>
      </w:r>
      <w:r w:rsidRPr="00E83AD8">
        <w:t xml:space="preserve">In certain situations, the Court can exceptionally indicate the specific remedy or other measure to be taken by the respondent State (see, for instance, </w:t>
      </w:r>
      <w:proofErr w:type="spellStart"/>
      <w:r w:rsidRPr="00B668D2">
        <w:rPr>
          <w:i/>
        </w:rPr>
        <w:t>Assanidze</w:t>
      </w:r>
      <w:proofErr w:type="spellEnd"/>
      <w:r w:rsidRPr="00B668D2">
        <w:rPr>
          <w:i/>
        </w:rPr>
        <w:t xml:space="preserve"> v. Georgia</w:t>
      </w:r>
      <w:r w:rsidRPr="001B2370">
        <w:t xml:space="preserve"> </w:t>
      </w:r>
      <w:r w:rsidRPr="00B668D2">
        <w:t xml:space="preserve">[GC], no. 71503/01, </w:t>
      </w:r>
      <w:r w:rsidRPr="00E83AD8">
        <w:t>point 14 of the operative part of the judgment,</w:t>
      </w:r>
      <w:r w:rsidRPr="00B668D2">
        <w:t xml:space="preserve"> ECHR 2004</w:t>
      </w:r>
      <w:r w:rsidRPr="00B668D2">
        <w:noBreakHyphen/>
        <w:t>II</w:t>
      </w:r>
      <w:r w:rsidRPr="00E83AD8">
        <w:t xml:space="preserve">; </w:t>
      </w:r>
      <w:proofErr w:type="spellStart"/>
      <w:r w:rsidRPr="00E83AD8">
        <w:rPr>
          <w:i/>
        </w:rPr>
        <w:t>Oleksandr</w:t>
      </w:r>
      <w:proofErr w:type="spellEnd"/>
      <w:r w:rsidRPr="00E83AD8">
        <w:rPr>
          <w:i/>
        </w:rPr>
        <w:t xml:space="preserve"> </w:t>
      </w:r>
      <w:proofErr w:type="spellStart"/>
      <w:r w:rsidRPr="00E83AD8">
        <w:rPr>
          <w:i/>
        </w:rPr>
        <w:t>Volkov</w:t>
      </w:r>
      <w:proofErr w:type="spellEnd"/>
      <w:r w:rsidRPr="00E83AD8">
        <w:rPr>
          <w:i/>
        </w:rPr>
        <w:t xml:space="preserve"> v.</w:t>
      </w:r>
      <w:r w:rsidR="002F3277" w:rsidRPr="00E83AD8">
        <w:rPr>
          <w:i/>
        </w:rPr>
        <w:t> </w:t>
      </w:r>
      <w:r w:rsidRPr="00E83AD8">
        <w:rPr>
          <w:i/>
        </w:rPr>
        <w:t>Ukraine,</w:t>
      </w:r>
      <w:r w:rsidRPr="00E83AD8">
        <w:t xml:space="preserve"> no. </w:t>
      </w:r>
      <w:r w:rsidR="00971891" w:rsidRPr="00DA5CB8">
        <w:rPr>
          <w:lang w:val="it-IT"/>
        </w:rPr>
        <w:t>21722/11</w:t>
      </w:r>
      <w:r w:rsidRPr="00E83AD8">
        <w:t>, § 208, ECHR 2013</w:t>
      </w:r>
      <w:r w:rsidR="00EE3D09" w:rsidRPr="00E83AD8">
        <w:t xml:space="preserve">; </w:t>
      </w:r>
      <w:r w:rsidR="001B2A68" w:rsidRPr="000D19E7">
        <w:rPr>
          <w:i/>
          <w:lang w:val="it-IT"/>
        </w:rPr>
        <w:t xml:space="preserve">Del </w:t>
      </w:r>
      <w:r w:rsidR="001B2A68" w:rsidRPr="00DA5CB8">
        <w:rPr>
          <w:i/>
          <w:iCs/>
          <w:lang w:val="it-IT"/>
        </w:rPr>
        <w:t>Río</w:t>
      </w:r>
      <w:r w:rsidR="001B2A68" w:rsidRPr="000D19E7">
        <w:rPr>
          <w:i/>
          <w:lang w:val="it-IT"/>
        </w:rPr>
        <w:t xml:space="preserve"> Prada</w:t>
      </w:r>
      <w:r w:rsidR="001B2A68" w:rsidRPr="000D19E7">
        <w:rPr>
          <w:lang w:val="it-IT"/>
        </w:rPr>
        <w:t xml:space="preserve"> </w:t>
      </w:r>
      <w:r w:rsidR="001B2A68" w:rsidRPr="000D19E7">
        <w:rPr>
          <w:i/>
          <w:lang w:val="it-IT"/>
        </w:rPr>
        <w:t xml:space="preserve">v. Spain </w:t>
      </w:r>
      <w:r w:rsidR="001B2A68" w:rsidRPr="000D19E7">
        <w:rPr>
          <w:lang w:val="it-IT"/>
        </w:rPr>
        <w:t>[GC], no. 42750/09</w:t>
      </w:r>
      <w:r w:rsidR="001B2A68">
        <w:rPr>
          <w:snapToGrid w:val="0"/>
          <w:lang w:val="it-IT"/>
        </w:rPr>
        <w:t>, § 139</w:t>
      </w:r>
      <w:r w:rsidR="001B2A68" w:rsidRPr="000D19E7">
        <w:rPr>
          <w:snapToGrid w:val="0"/>
          <w:lang w:val="it-IT"/>
        </w:rPr>
        <w:t xml:space="preserve">, </w:t>
      </w:r>
      <w:r w:rsidR="001B2A68" w:rsidRPr="000D19E7">
        <w:rPr>
          <w:lang w:val="it-IT"/>
        </w:rPr>
        <w:t>ECHR 2013</w:t>
      </w:r>
      <w:r w:rsidR="001B2A68">
        <w:rPr>
          <w:lang w:val="it-IT"/>
        </w:rPr>
        <w:t xml:space="preserve">; and </w:t>
      </w:r>
      <w:r w:rsidR="00EE3D09" w:rsidRPr="00DA5CB8">
        <w:rPr>
          <w:i/>
          <w:lang w:val="it-IT"/>
        </w:rPr>
        <w:t>Amirov</w:t>
      </w:r>
      <w:r w:rsidR="00EE3D09" w:rsidRPr="00DA5CB8">
        <w:rPr>
          <w:lang w:val="it-IT"/>
        </w:rPr>
        <w:t xml:space="preserve"> </w:t>
      </w:r>
      <w:r w:rsidR="00EE3D09" w:rsidRPr="00DA5CB8">
        <w:rPr>
          <w:i/>
          <w:lang w:val="it-IT"/>
        </w:rPr>
        <w:t>v. Russia</w:t>
      </w:r>
      <w:r w:rsidR="00EE3D09" w:rsidRPr="00DA5CB8">
        <w:rPr>
          <w:lang w:val="it-IT"/>
        </w:rPr>
        <w:t>, no. 51857/13</w:t>
      </w:r>
      <w:r w:rsidR="00EE3D09" w:rsidRPr="00DA5CB8">
        <w:rPr>
          <w:snapToGrid w:val="0"/>
          <w:lang w:val="it-IT"/>
        </w:rPr>
        <w:t>, §</w:t>
      </w:r>
      <w:r w:rsidR="00971891">
        <w:rPr>
          <w:snapToGrid w:val="0"/>
          <w:lang w:val="it-IT"/>
        </w:rPr>
        <w:t> </w:t>
      </w:r>
      <w:r w:rsidR="00EE3D09" w:rsidRPr="00DA5CB8">
        <w:rPr>
          <w:snapToGrid w:val="0"/>
          <w:lang w:val="it-IT"/>
        </w:rPr>
        <w:t>118, 27 November 2014</w:t>
      </w:r>
      <w:r w:rsidRPr="00E83AD8">
        <w:t>). Whenever the Court takes this adjudicative approach, it does so with due respect for the Convention organs</w:t>
      </w:r>
      <w:r w:rsidR="00BA3D89">
        <w:t>’</w:t>
      </w:r>
      <w:r w:rsidRPr="00E83AD8">
        <w:t xml:space="preserve"> respective functions: it falls to the Committee of Ministers to evaluate the implementation of individual and general measures under Article 46 § 2 of the Convention (see</w:t>
      </w:r>
      <w:r w:rsidR="00EE3D09" w:rsidRPr="00E83AD8">
        <w:t xml:space="preserve"> </w:t>
      </w:r>
      <w:proofErr w:type="spellStart"/>
      <w:r w:rsidR="00EE3D09" w:rsidRPr="00F7005A">
        <w:rPr>
          <w:i/>
        </w:rPr>
        <w:t>Kudeshkina</w:t>
      </w:r>
      <w:proofErr w:type="spellEnd"/>
      <w:r w:rsidR="00EE3D09" w:rsidRPr="00F7005A">
        <w:rPr>
          <w:i/>
        </w:rPr>
        <w:t xml:space="preserve"> v. Russia</w:t>
      </w:r>
      <w:r w:rsidR="00EE3D09" w:rsidRPr="00E83AD8">
        <w:t xml:space="preserve"> </w:t>
      </w:r>
      <w:r w:rsidR="00EE3D09" w:rsidRPr="00F7005A">
        <w:rPr>
          <w:i/>
        </w:rPr>
        <w:t xml:space="preserve">(no. 2) </w:t>
      </w:r>
      <w:r w:rsidR="00EE3D09" w:rsidRPr="00E83AD8">
        <w:t>(</w:t>
      </w:r>
      <w:proofErr w:type="spellStart"/>
      <w:r w:rsidR="00EE3D09" w:rsidRPr="00E83AD8">
        <w:t>dec.</w:t>
      </w:r>
      <w:proofErr w:type="spellEnd"/>
      <w:r w:rsidR="00EE3D09" w:rsidRPr="00E83AD8">
        <w:t>), no. 28727/11, § 58, 17 February 2014, with further references</w:t>
      </w:r>
      <w:r w:rsidRPr="00E83AD8">
        <w:t>).</w:t>
      </w:r>
    </w:p>
    <w:p w:rsidR="009E1BDD" w:rsidRDefault="00D00AAB" w:rsidP="00D00AAB">
      <w:pPr>
        <w:pStyle w:val="ECHRPara"/>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168</w:t>
      </w:r>
      <w:r>
        <w:rPr>
          <w:rFonts w:asciiTheme="majorHAnsi" w:eastAsiaTheme="majorEastAsia" w:hAnsiTheme="majorHAnsi" w:cstheme="majorBidi"/>
          <w:bCs/>
          <w:szCs w:val="28"/>
        </w:rPr>
        <w:fldChar w:fldCharType="end"/>
      </w:r>
      <w:r>
        <w:rPr>
          <w:rFonts w:asciiTheme="majorHAnsi" w:eastAsiaTheme="majorEastAsia" w:hAnsiTheme="majorHAnsi" w:cstheme="majorBidi"/>
          <w:bCs/>
          <w:szCs w:val="28"/>
        </w:rPr>
        <w:t>.  </w:t>
      </w:r>
      <w:r w:rsidR="007A116E" w:rsidRPr="005459F1">
        <w:rPr>
          <w:rFonts w:asciiTheme="majorHAnsi" w:eastAsiaTheme="majorEastAsia" w:hAnsiTheme="majorHAnsi" w:cstheme="majorBidi"/>
          <w:bCs/>
          <w:szCs w:val="28"/>
        </w:rPr>
        <w:t>In the instant case the Court considers that it is necessary, in view of its fin</w:t>
      </w:r>
      <w:r w:rsidR="005459F1">
        <w:rPr>
          <w:rFonts w:asciiTheme="majorHAnsi" w:eastAsiaTheme="majorEastAsia" w:hAnsiTheme="majorHAnsi" w:cstheme="majorBidi"/>
          <w:bCs/>
          <w:szCs w:val="28"/>
        </w:rPr>
        <w:t>ding of a violation of Article 5 § 1 (f)</w:t>
      </w:r>
      <w:r w:rsidR="007A116E" w:rsidRPr="005459F1">
        <w:rPr>
          <w:rFonts w:asciiTheme="majorHAnsi" w:eastAsiaTheme="majorEastAsia" w:hAnsiTheme="majorHAnsi" w:cstheme="majorBidi"/>
          <w:bCs/>
          <w:szCs w:val="28"/>
        </w:rPr>
        <w:t xml:space="preserve"> of the Convention, to indicate individual measures for the execution of this judgment. It has found a violation of that Article </w:t>
      </w:r>
      <w:r>
        <w:rPr>
          <w:rFonts w:asciiTheme="majorHAnsi" w:eastAsiaTheme="majorEastAsia" w:hAnsiTheme="majorHAnsi" w:cstheme="majorBidi"/>
          <w:bCs/>
          <w:szCs w:val="28"/>
        </w:rPr>
        <w:t xml:space="preserve">and concluded </w:t>
      </w:r>
      <w:r w:rsidRPr="00E83AD8">
        <w:t>that after 27 May 2014 the applicants</w:t>
      </w:r>
      <w:r w:rsidR="00BA3D89">
        <w:t>’</w:t>
      </w:r>
      <w:r w:rsidRPr="00E83AD8">
        <w:t xml:space="preserve"> detention did not fall within the</w:t>
      </w:r>
      <w:r w:rsidR="00275A36" w:rsidRPr="00E83AD8">
        <w:t xml:space="preserve"> list of</w:t>
      </w:r>
      <w:r w:rsidRPr="00E83AD8">
        <w:t xml:space="preserve"> exception</w:t>
      </w:r>
      <w:r w:rsidR="00275A36" w:rsidRPr="00E83AD8">
        <w:t>s</w:t>
      </w:r>
      <w:r w:rsidRPr="00E83AD8">
        <w:t xml:space="preserve"> to the right to liberty set out in Article 5 § 1 (f) of the Convention since no “action [was] being taken with a view to [their] deportation or extradition”. </w:t>
      </w:r>
      <w:r w:rsidR="005C6CA0" w:rsidRPr="00E83AD8">
        <w:t>Moreover, as the Court has already found, this detention was not attained by the requisite procedural guarantees</w:t>
      </w:r>
      <w:r w:rsidR="001A39D7" w:rsidRPr="00E83AD8">
        <w:t>,</w:t>
      </w:r>
      <w:r w:rsidR="005C6CA0" w:rsidRPr="00E83AD8">
        <w:t xml:space="preserve"> and general measures are</w:t>
      </w:r>
      <w:r w:rsidR="005B7819" w:rsidRPr="00E83AD8">
        <w:t xml:space="preserve"> expected from the Respondent Government in order to correct this situation (see </w:t>
      </w:r>
      <w:r w:rsidR="005B7819" w:rsidRPr="00F7005A">
        <w:rPr>
          <w:i/>
        </w:rPr>
        <w:t>Kim</w:t>
      </w:r>
      <w:r w:rsidR="005B7819" w:rsidRPr="00E83AD8">
        <w:t>, cited above, § 71).</w:t>
      </w:r>
    </w:p>
    <w:p w:rsidR="007A116E" w:rsidRPr="005459F1" w:rsidRDefault="00D00AAB" w:rsidP="005459F1">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169</w:t>
      </w:r>
      <w:r>
        <w:rPr>
          <w:rFonts w:asciiTheme="majorHAnsi" w:eastAsiaTheme="majorEastAsia" w:hAnsiTheme="majorHAnsi" w:cstheme="majorBidi"/>
          <w:bCs/>
          <w:szCs w:val="28"/>
        </w:rPr>
        <w:fldChar w:fldCharType="end"/>
      </w:r>
      <w:r>
        <w:rPr>
          <w:rFonts w:asciiTheme="majorHAnsi" w:eastAsiaTheme="majorEastAsia" w:hAnsiTheme="majorHAnsi" w:cstheme="majorBidi"/>
          <w:bCs/>
          <w:szCs w:val="28"/>
        </w:rPr>
        <w:t>.  </w:t>
      </w:r>
      <w:r w:rsidR="004C7014" w:rsidRPr="00E83AD8">
        <w:t xml:space="preserve">Having regard to the particular circumstances of the case and to the urgent need to put an end to the violation of the Convention it has found, the Court considers it incumbent on the respondent State to ensure that applicants L.M. and </w:t>
      </w:r>
      <w:r w:rsidR="00807B20" w:rsidRPr="00E83AD8">
        <w:t>M.A.</w:t>
      </w:r>
      <w:r w:rsidR="004C7014" w:rsidRPr="00E83AD8">
        <w:t xml:space="preserve"> are released </w:t>
      </w:r>
      <w:r w:rsidR="0094505E" w:rsidRPr="00E83AD8">
        <w:t>immediately</w:t>
      </w:r>
      <w:r w:rsidR="007A116E" w:rsidRPr="005459F1">
        <w:rPr>
          <w:rFonts w:asciiTheme="majorHAnsi" w:eastAsiaTheme="majorEastAsia" w:hAnsiTheme="majorHAnsi" w:cstheme="majorBidi"/>
          <w:bCs/>
          <w:szCs w:val="28"/>
        </w:rPr>
        <w:t>.</w:t>
      </w:r>
    </w:p>
    <w:p w:rsidR="007A116E" w:rsidRPr="007A116E" w:rsidRDefault="002F3277" w:rsidP="005459F1">
      <w:pPr>
        <w:pStyle w:val="ECHRHeading2"/>
      </w:pPr>
      <w:r>
        <w:t>B.  </w:t>
      </w:r>
      <w:r w:rsidR="007A116E" w:rsidRPr="007A116E">
        <w:t>Article 41 of the Convention</w:t>
      </w:r>
    </w:p>
    <w:p w:rsidR="007A116E" w:rsidRPr="007A116E" w:rsidRDefault="001B2A68" w:rsidP="001B2A68">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170</w:t>
      </w:r>
      <w:r>
        <w:rPr>
          <w:rFonts w:asciiTheme="majorHAnsi" w:eastAsiaTheme="majorEastAsia" w:hAnsiTheme="majorHAnsi" w:cstheme="majorBidi"/>
          <w:bCs/>
          <w:szCs w:val="28"/>
        </w:rPr>
        <w:fldChar w:fldCharType="end"/>
      </w:r>
      <w:r>
        <w:rPr>
          <w:rFonts w:asciiTheme="majorHAnsi" w:eastAsiaTheme="majorEastAsia" w:hAnsiTheme="majorHAnsi" w:cstheme="majorBidi"/>
          <w:bCs/>
          <w:szCs w:val="28"/>
        </w:rPr>
        <w:t>.  </w:t>
      </w:r>
      <w:r w:rsidR="007A116E" w:rsidRPr="007A116E">
        <w:rPr>
          <w:rFonts w:asciiTheme="majorHAnsi" w:eastAsiaTheme="majorEastAsia" w:hAnsiTheme="majorHAnsi" w:cstheme="majorBidi"/>
          <w:bCs/>
          <w:szCs w:val="28"/>
        </w:rPr>
        <w:t>Article 41 of the Convention provides:</w:t>
      </w:r>
    </w:p>
    <w:p w:rsidR="007A116E" w:rsidRPr="007A116E" w:rsidRDefault="007A116E" w:rsidP="003F63FF">
      <w:pPr>
        <w:pStyle w:val="JuQuotSub"/>
        <w:rPr>
          <w:rFonts w:eastAsiaTheme="majorEastAsia"/>
        </w:rPr>
      </w:pPr>
      <w:r w:rsidRPr="007A116E">
        <w:rPr>
          <w:rFonts w:eastAsiaTheme="majorEastAsia"/>
        </w:rPr>
        <w:t xml:space="preserve">“If the Court finds that there has been a violation of the Convention or the Protocols thereto, and if the internal law of the High Contracting Party concerned </w:t>
      </w:r>
      <w:r w:rsidRPr="007A116E">
        <w:rPr>
          <w:rFonts w:eastAsiaTheme="majorEastAsia"/>
        </w:rPr>
        <w:lastRenderedPageBreak/>
        <w:t>allows only partial reparation to be made, the Court shall, if necessary, afford just satisfaction to the injured party.”</w:t>
      </w:r>
    </w:p>
    <w:p w:rsidR="007A116E" w:rsidRPr="007A116E" w:rsidRDefault="002F3277" w:rsidP="003F63FF">
      <w:pPr>
        <w:pStyle w:val="ECHRHeading3"/>
      </w:pPr>
      <w:r>
        <w:t>1.  </w:t>
      </w:r>
      <w:r w:rsidR="007A116E" w:rsidRPr="007A116E">
        <w:t>Damage</w:t>
      </w:r>
    </w:p>
    <w:p w:rsidR="007A116E" w:rsidRPr="00763712" w:rsidRDefault="00543049" w:rsidP="003F63FF">
      <w:pPr>
        <w:pStyle w:val="ECHRPara"/>
        <w:rPr>
          <w:rFonts w:asciiTheme="majorHAnsi" w:eastAsiaTheme="majorEastAsia" w:hAnsiTheme="majorHAnsi" w:cstheme="majorBidi"/>
          <w:bCs/>
          <w:szCs w:val="28"/>
        </w:rPr>
      </w:pPr>
      <w:r w:rsidRPr="00763712">
        <w:rPr>
          <w:rFonts w:asciiTheme="majorHAnsi" w:eastAsiaTheme="majorEastAsia" w:hAnsiTheme="majorHAnsi" w:cstheme="majorBidi"/>
          <w:bCs/>
          <w:szCs w:val="28"/>
        </w:rPr>
        <w:fldChar w:fldCharType="begin"/>
      </w:r>
      <w:r w:rsidRPr="00763712">
        <w:rPr>
          <w:rFonts w:asciiTheme="majorHAnsi" w:eastAsiaTheme="majorEastAsia" w:hAnsiTheme="majorHAnsi" w:cstheme="majorBidi"/>
          <w:bCs/>
          <w:szCs w:val="28"/>
        </w:rPr>
        <w:instrText xml:space="preserve"> SEQ level0 \*arabic </w:instrText>
      </w:r>
      <w:r w:rsidRPr="00763712">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171</w:t>
      </w:r>
      <w:r w:rsidRPr="00763712">
        <w:rPr>
          <w:rFonts w:asciiTheme="majorHAnsi" w:eastAsiaTheme="majorEastAsia" w:hAnsiTheme="majorHAnsi" w:cstheme="majorBidi"/>
          <w:bCs/>
          <w:szCs w:val="28"/>
        </w:rPr>
        <w:fldChar w:fldCharType="end"/>
      </w:r>
      <w:r w:rsidRPr="00763712">
        <w:rPr>
          <w:rFonts w:asciiTheme="majorHAnsi" w:eastAsiaTheme="majorEastAsia" w:hAnsiTheme="majorHAnsi" w:cstheme="majorBidi"/>
          <w:bCs/>
          <w:szCs w:val="28"/>
        </w:rPr>
        <w:t>.  </w:t>
      </w:r>
      <w:r w:rsidR="007A116E" w:rsidRPr="00763712">
        <w:rPr>
          <w:rFonts w:asciiTheme="majorHAnsi" w:eastAsiaTheme="majorEastAsia" w:hAnsiTheme="majorHAnsi" w:cstheme="majorBidi"/>
          <w:bCs/>
          <w:szCs w:val="28"/>
        </w:rPr>
        <w:t>The applicant</w:t>
      </w:r>
      <w:r w:rsidRPr="00763712">
        <w:rPr>
          <w:rFonts w:asciiTheme="majorHAnsi" w:eastAsiaTheme="majorEastAsia" w:hAnsiTheme="majorHAnsi" w:cstheme="majorBidi"/>
          <w:bCs/>
          <w:szCs w:val="28"/>
        </w:rPr>
        <w:t>s</w:t>
      </w:r>
      <w:r w:rsidR="007A116E" w:rsidRPr="00763712">
        <w:rPr>
          <w:rFonts w:asciiTheme="majorHAnsi" w:eastAsiaTheme="majorEastAsia" w:hAnsiTheme="majorHAnsi" w:cstheme="majorBidi"/>
          <w:bCs/>
          <w:szCs w:val="28"/>
        </w:rPr>
        <w:t xml:space="preserve"> claimed </w:t>
      </w:r>
      <w:r w:rsidRPr="00763712">
        <w:rPr>
          <w:rFonts w:asciiTheme="majorHAnsi" w:eastAsiaTheme="majorEastAsia" w:hAnsiTheme="majorHAnsi" w:cstheme="majorBidi"/>
          <w:bCs/>
          <w:szCs w:val="28"/>
        </w:rPr>
        <w:t>that they should be compensated for the suffering</w:t>
      </w:r>
      <w:r w:rsidR="00763712" w:rsidRPr="00763712">
        <w:rPr>
          <w:rFonts w:asciiTheme="majorHAnsi" w:eastAsiaTheme="majorEastAsia" w:hAnsiTheme="majorHAnsi" w:cstheme="majorBidi"/>
          <w:bCs/>
          <w:szCs w:val="28"/>
        </w:rPr>
        <w:t xml:space="preserve"> endured by them as a result of the violations found and s</w:t>
      </w:r>
      <w:r w:rsidR="00AD0351">
        <w:rPr>
          <w:rFonts w:asciiTheme="majorHAnsi" w:eastAsiaTheme="majorEastAsia" w:hAnsiTheme="majorHAnsi" w:cstheme="majorBidi"/>
          <w:bCs/>
          <w:szCs w:val="28"/>
        </w:rPr>
        <w:t>ought</w:t>
      </w:r>
      <w:r w:rsidR="00763712" w:rsidRPr="00763712">
        <w:rPr>
          <w:rFonts w:asciiTheme="majorHAnsi" w:eastAsiaTheme="majorEastAsia" w:hAnsiTheme="majorHAnsi" w:cstheme="majorBidi"/>
          <w:bCs/>
          <w:szCs w:val="28"/>
        </w:rPr>
        <w:t xml:space="preserve"> compensation in respect of</w:t>
      </w:r>
      <w:r w:rsidR="007A116E" w:rsidRPr="00763712">
        <w:rPr>
          <w:rFonts w:asciiTheme="majorHAnsi" w:eastAsiaTheme="majorEastAsia" w:hAnsiTheme="majorHAnsi" w:cstheme="majorBidi"/>
          <w:bCs/>
          <w:szCs w:val="28"/>
        </w:rPr>
        <w:t xml:space="preserve"> non</w:t>
      </w:r>
      <w:r w:rsidR="007A116E" w:rsidRPr="00763712">
        <w:rPr>
          <w:rFonts w:asciiTheme="majorHAnsi" w:eastAsiaTheme="majorEastAsia" w:hAnsiTheme="majorHAnsi" w:cstheme="majorBidi"/>
          <w:bCs/>
          <w:szCs w:val="28"/>
        </w:rPr>
        <w:noBreakHyphen/>
        <w:t>pecuniary damage.</w:t>
      </w:r>
      <w:r w:rsidR="00763712" w:rsidRPr="00763712">
        <w:rPr>
          <w:rFonts w:asciiTheme="majorHAnsi" w:eastAsiaTheme="majorEastAsia" w:hAnsiTheme="majorHAnsi" w:cstheme="majorBidi"/>
          <w:bCs/>
          <w:szCs w:val="28"/>
        </w:rPr>
        <w:t xml:space="preserve"> They left the amount to the Court</w:t>
      </w:r>
      <w:r w:rsidR="00BA3D89">
        <w:rPr>
          <w:rFonts w:asciiTheme="majorHAnsi" w:eastAsiaTheme="majorEastAsia" w:hAnsiTheme="majorHAnsi" w:cstheme="majorBidi"/>
          <w:bCs/>
          <w:szCs w:val="28"/>
        </w:rPr>
        <w:t>’</w:t>
      </w:r>
      <w:r w:rsidR="00763712" w:rsidRPr="00763712">
        <w:rPr>
          <w:rFonts w:asciiTheme="majorHAnsi" w:eastAsiaTheme="majorEastAsia" w:hAnsiTheme="majorHAnsi" w:cstheme="majorBidi"/>
          <w:bCs/>
          <w:szCs w:val="28"/>
        </w:rPr>
        <w:t>s discretion.</w:t>
      </w:r>
    </w:p>
    <w:p w:rsidR="007A116E" w:rsidRPr="00763712" w:rsidRDefault="00763712" w:rsidP="003F63FF">
      <w:pPr>
        <w:pStyle w:val="ECHRPara"/>
        <w:rPr>
          <w:rFonts w:asciiTheme="majorHAnsi" w:eastAsiaTheme="majorEastAsia" w:hAnsiTheme="majorHAnsi" w:cstheme="majorBidi"/>
          <w:bCs/>
          <w:szCs w:val="28"/>
        </w:rPr>
      </w:pPr>
      <w:r w:rsidRPr="00763712">
        <w:rPr>
          <w:rFonts w:asciiTheme="majorHAnsi" w:eastAsiaTheme="majorEastAsia" w:hAnsiTheme="majorHAnsi" w:cstheme="majorBidi"/>
          <w:bCs/>
          <w:szCs w:val="28"/>
        </w:rPr>
        <w:fldChar w:fldCharType="begin"/>
      </w:r>
      <w:r w:rsidRPr="00763712">
        <w:rPr>
          <w:rFonts w:asciiTheme="majorHAnsi" w:eastAsiaTheme="majorEastAsia" w:hAnsiTheme="majorHAnsi" w:cstheme="majorBidi"/>
          <w:bCs/>
          <w:szCs w:val="28"/>
        </w:rPr>
        <w:instrText xml:space="preserve"> SEQ level0 \*arabic </w:instrText>
      </w:r>
      <w:r w:rsidRPr="00763712">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172</w:t>
      </w:r>
      <w:r w:rsidRPr="00763712">
        <w:rPr>
          <w:rFonts w:asciiTheme="majorHAnsi" w:eastAsiaTheme="majorEastAsia" w:hAnsiTheme="majorHAnsi" w:cstheme="majorBidi"/>
          <w:bCs/>
          <w:szCs w:val="28"/>
        </w:rPr>
        <w:fldChar w:fldCharType="end"/>
      </w:r>
      <w:r w:rsidRPr="00763712">
        <w:rPr>
          <w:rFonts w:asciiTheme="majorHAnsi" w:eastAsiaTheme="majorEastAsia" w:hAnsiTheme="majorHAnsi" w:cstheme="majorBidi"/>
          <w:bCs/>
          <w:szCs w:val="28"/>
        </w:rPr>
        <w:t>.  </w:t>
      </w:r>
      <w:r w:rsidR="007A116E" w:rsidRPr="00763712">
        <w:rPr>
          <w:rFonts w:asciiTheme="majorHAnsi" w:eastAsiaTheme="majorEastAsia" w:hAnsiTheme="majorHAnsi" w:cstheme="majorBidi"/>
          <w:bCs/>
          <w:szCs w:val="28"/>
        </w:rPr>
        <w:t xml:space="preserve">The Government submitted that </w:t>
      </w:r>
      <w:r w:rsidRPr="00763712">
        <w:rPr>
          <w:rFonts w:asciiTheme="majorHAnsi" w:eastAsiaTheme="majorEastAsia" w:hAnsiTheme="majorHAnsi" w:cstheme="majorBidi"/>
          <w:bCs/>
          <w:szCs w:val="28"/>
        </w:rPr>
        <w:t>no compensation was necessary</w:t>
      </w:r>
      <w:r w:rsidR="007A116E" w:rsidRPr="00763712">
        <w:rPr>
          <w:rFonts w:asciiTheme="majorHAnsi" w:eastAsiaTheme="majorEastAsia" w:hAnsiTheme="majorHAnsi" w:cstheme="majorBidi"/>
          <w:bCs/>
          <w:szCs w:val="28"/>
        </w:rPr>
        <w:t>.</w:t>
      </w:r>
    </w:p>
    <w:p w:rsidR="00686BE5" w:rsidRPr="00686BE5" w:rsidRDefault="00132673" w:rsidP="00686BE5">
      <w:pPr>
        <w:pStyle w:val="ECHRPara"/>
        <w:rPr>
          <w:i/>
        </w:rPr>
      </w:pPr>
      <w:r>
        <w:fldChar w:fldCharType="begin"/>
      </w:r>
      <w:r>
        <w:instrText xml:space="preserve"> SEQ level0 \*arabic </w:instrText>
      </w:r>
      <w:r>
        <w:fldChar w:fldCharType="separate"/>
      </w:r>
      <w:r w:rsidR="00D21AD2">
        <w:rPr>
          <w:noProof/>
        </w:rPr>
        <w:t>173</w:t>
      </w:r>
      <w:r>
        <w:fldChar w:fldCharType="end"/>
      </w:r>
      <w:r w:rsidRPr="00E83AD8">
        <w:t>.  </w:t>
      </w:r>
      <w:r w:rsidR="00686BE5" w:rsidRPr="00E83AD8">
        <w:t xml:space="preserve">In so </w:t>
      </w:r>
      <w:r w:rsidRPr="00E83AD8">
        <w:t>far as the applicants complained</w:t>
      </w:r>
      <w:r w:rsidR="00686BE5" w:rsidRPr="00E83AD8">
        <w:t xml:space="preserve"> under Articles 2 and/or 3, their forced return to Syria would, if </w:t>
      </w:r>
      <w:r w:rsidR="00686BE5" w:rsidRPr="00686BE5">
        <w:rPr>
          <w:rFonts w:asciiTheme="majorHAnsi" w:eastAsiaTheme="majorEastAsia" w:hAnsiTheme="majorHAnsi" w:cstheme="majorBidi"/>
          <w:bCs/>
          <w:szCs w:val="28"/>
        </w:rPr>
        <w:t>implemented</w:t>
      </w:r>
      <w:r w:rsidR="00686BE5" w:rsidRPr="00E83AD8">
        <w:t xml:space="preserve">, give rise to a violation of those provisions. Accordingly, no breach of the Convention under that head has yet occurred in the present case. The Court considers that its finding regarding this complaint in itself amounts to adequate just satisfaction for the purposes of Article 41 (see </w:t>
      </w:r>
      <w:proofErr w:type="spellStart"/>
      <w:r w:rsidR="00686BE5">
        <w:rPr>
          <w:i/>
          <w:lang w:val="en-US"/>
        </w:rPr>
        <w:t>Rakhimov</w:t>
      </w:r>
      <w:proofErr w:type="spellEnd"/>
      <w:r w:rsidR="00686BE5">
        <w:rPr>
          <w:snapToGrid w:val="0"/>
          <w:lang w:val="en-US"/>
        </w:rPr>
        <w:t>,</w:t>
      </w:r>
      <w:r w:rsidR="00FF2F5E">
        <w:rPr>
          <w:snapToGrid w:val="0"/>
          <w:lang w:val="en-US"/>
        </w:rPr>
        <w:t xml:space="preserve"> cited above, § 156</w:t>
      </w:r>
      <w:r w:rsidR="00686BE5">
        <w:rPr>
          <w:snapToGrid w:val="0"/>
          <w:lang w:val="en-US"/>
        </w:rPr>
        <w:t>)</w:t>
      </w:r>
      <w:r w:rsidR="00686BE5" w:rsidRPr="00E83AD8">
        <w:t>.</w:t>
      </w:r>
    </w:p>
    <w:p w:rsidR="00686BE5" w:rsidRDefault="00132673" w:rsidP="00BF5445">
      <w:pPr>
        <w:pStyle w:val="ECHRPara"/>
      </w:pPr>
      <w:r>
        <w:fldChar w:fldCharType="begin"/>
      </w:r>
      <w:r>
        <w:instrText xml:space="preserve"> SEQ level0 \*arabic </w:instrText>
      </w:r>
      <w:r>
        <w:fldChar w:fldCharType="separate"/>
      </w:r>
      <w:r w:rsidR="00D21AD2">
        <w:rPr>
          <w:noProof/>
        </w:rPr>
        <w:t>174</w:t>
      </w:r>
      <w:r>
        <w:fldChar w:fldCharType="end"/>
      </w:r>
      <w:r w:rsidRPr="00E83AD8">
        <w:t>.  </w:t>
      </w:r>
      <w:r w:rsidR="00874165" w:rsidRPr="00E83AD8">
        <w:t>The Court further observes that it has found other violations of the Convention in the present case. It accepts that the applicants have suffered non-pecuniary damage which cannot be compensated for solely by the finding of a violation. The Court theref</w:t>
      </w:r>
      <w:r w:rsidR="00134A95">
        <w:t>ore awards each applicant 9,000 </w:t>
      </w:r>
      <w:r w:rsidR="00874165" w:rsidRPr="00E83AD8">
        <w:t>euros (EUR) in respect of non</w:t>
      </w:r>
      <w:r w:rsidR="00F7005A">
        <w:t>-</w:t>
      </w:r>
      <w:r w:rsidR="00874165" w:rsidRPr="00E83AD8">
        <w:t>pecuniary damage, plus any tax that may be chargeable to the applicants. In respect of A.A., the Court notes that his whereabouts remain unknown after August 2014. In such circumstances, the Court considers it appropriate for the award to be held by the applicant</w:t>
      </w:r>
      <w:r w:rsidR="00BA3D89">
        <w:t>’</w:t>
      </w:r>
      <w:r w:rsidR="00874165" w:rsidRPr="00E83AD8">
        <w:t xml:space="preserve">s representatives in trust for him until such time as payment to the applicant may be enforced (see </w:t>
      </w:r>
      <w:proofErr w:type="spellStart"/>
      <w:r w:rsidR="00874165" w:rsidRPr="00F7005A">
        <w:rPr>
          <w:i/>
        </w:rPr>
        <w:t>Hirsi</w:t>
      </w:r>
      <w:proofErr w:type="spellEnd"/>
      <w:r w:rsidR="00874165" w:rsidRPr="00F7005A">
        <w:rPr>
          <w:i/>
        </w:rPr>
        <w:t xml:space="preserve"> </w:t>
      </w:r>
      <w:proofErr w:type="spellStart"/>
      <w:r w:rsidR="00874165" w:rsidRPr="00F7005A">
        <w:rPr>
          <w:i/>
        </w:rPr>
        <w:t>Jamaa</w:t>
      </w:r>
      <w:proofErr w:type="spellEnd"/>
      <w:r w:rsidR="00874165" w:rsidRPr="00F7005A">
        <w:rPr>
          <w:i/>
        </w:rPr>
        <w:t xml:space="preserve"> and Others v. Italy</w:t>
      </w:r>
      <w:r w:rsidR="00F7005A">
        <w:t xml:space="preserve"> [GC], no. 27765/09, § </w:t>
      </w:r>
      <w:r w:rsidR="00874165" w:rsidRPr="00E83AD8">
        <w:t xml:space="preserve">215, and point 12 of the operative part, ECHR 2012; </w:t>
      </w:r>
      <w:proofErr w:type="spellStart"/>
      <w:r w:rsidR="00874165" w:rsidRPr="00F7005A">
        <w:rPr>
          <w:i/>
        </w:rPr>
        <w:t>Labsi</w:t>
      </w:r>
      <w:proofErr w:type="spellEnd"/>
      <w:r w:rsidR="00874165" w:rsidRPr="00F7005A">
        <w:rPr>
          <w:i/>
        </w:rPr>
        <w:t xml:space="preserve"> v. Slovakia</w:t>
      </w:r>
      <w:r w:rsidR="00F7005A">
        <w:t>, no. </w:t>
      </w:r>
      <w:r w:rsidR="00874165" w:rsidRPr="00E83AD8">
        <w:t xml:space="preserve">33809/08, § 155 and point 6 of the operative part, 15 May 2012; and </w:t>
      </w:r>
      <w:proofErr w:type="spellStart"/>
      <w:r w:rsidR="00874165" w:rsidRPr="00F7005A">
        <w:rPr>
          <w:i/>
        </w:rPr>
        <w:t>Mamazhonov</w:t>
      </w:r>
      <w:proofErr w:type="spellEnd"/>
      <w:r w:rsidR="00874165" w:rsidRPr="00E83AD8">
        <w:t>, cited above, § 231).</w:t>
      </w:r>
    </w:p>
    <w:p w:rsidR="007A116E" w:rsidRPr="00132673" w:rsidRDefault="002F3277" w:rsidP="0025664D">
      <w:pPr>
        <w:pStyle w:val="ECHRHeading3"/>
      </w:pPr>
      <w:r>
        <w:t>2.  </w:t>
      </w:r>
      <w:r w:rsidR="007A116E" w:rsidRPr="00132673">
        <w:t>Costs and expenses</w:t>
      </w:r>
    </w:p>
    <w:p w:rsidR="009E1BDD" w:rsidRDefault="007D3A4C" w:rsidP="003F63FF">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175</w:t>
      </w:r>
      <w:r>
        <w:rPr>
          <w:rFonts w:asciiTheme="majorHAnsi" w:eastAsiaTheme="majorEastAsia" w:hAnsiTheme="majorHAnsi" w:cstheme="majorBidi"/>
          <w:bCs/>
          <w:szCs w:val="28"/>
        </w:rPr>
        <w:fldChar w:fldCharType="end"/>
      </w:r>
      <w:r>
        <w:rPr>
          <w:rFonts w:asciiTheme="majorHAnsi" w:eastAsiaTheme="majorEastAsia" w:hAnsiTheme="majorHAnsi" w:cstheme="majorBidi"/>
          <w:bCs/>
          <w:szCs w:val="28"/>
        </w:rPr>
        <w:t>.  </w:t>
      </w:r>
      <w:r w:rsidR="006C3922" w:rsidRPr="00132673">
        <w:rPr>
          <w:rFonts w:asciiTheme="majorHAnsi" w:eastAsiaTheme="majorEastAsia" w:hAnsiTheme="majorHAnsi" w:cstheme="majorBidi"/>
          <w:bCs/>
          <w:szCs w:val="28"/>
        </w:rPr>
        <w:t>The applicants also claimed 8</w:t>
      </w:r>
      <w:r w:rsidR="007A116E" w:rsidRPr="00132673">
        <w:rPr>
          <w:rFonts w:asciiTheme="majorHAnsi" w:eastAsiaTheme="majorEastAsia" w:hAnsiTheme="majorHAnsi" w:cstheme="majorBidi"/>
          <w:bCs/>
          <w:szCs w:val="28"/>
        </w:rPr>
        <w:t>,</w:t>
      </w:r>
      <w:r w:rsidR="006C3922" w:rsidRPr="00132673">
        <w:rPr>
          <w:rFonts w:asciiTheme="majorHAnsi" w:eastAsiaTheme="majorEastAsia" w:hAnsiTheme="majorHAnsi" w:cstheme="majorBidi"/>
          <w:bCs/>
          <w:szCs w:val="28"/>
        </w:rPr>
        <w:t>6</w:t>
      </w:r>
      <w:r w:rsidR="007A116E" w:rsidRPr="00132673">
        <w:rPr>
          <w:rFonts w:asciiTheme="majorHAnsi" w:eastAsiaTheme="majorEastAsia" w:hAnsiTheme="majorHAnsi" w:cstheme="majorBidi"/>
          <w:bCs/>
          <w:szCs w:val="28"/>
        </w:rPr>
        <w:t>00</w:t>
      </w:r>
      <w:r w:rsidR="00F7005A">
        <w:rPr>
          <w:rFonts w:asciiTheme="majorHAnsi" w:eastAsiaTheme="majorEastAsia" w:hAnsiTheme="majorHAnsi" w:cstheme="majorBidi"/>
          <w:bCs/>
          <w:szCs w:val="28"/>
        </w:rPr>
        <w:t xml:space="preserve"> euros (EUR)</w:t>
      </w:r>
      <w:r w:rsidR="007A116E" w:rsidRPr="00132673">
        <w:rPr>
          <w:rFonts w:asciiTheme="majorHAnsi" w:eastAsiaTheme="majorEastAsia" w:hAnsiTheme="majorHAnsi" w:cstheme="majorBidi"/>
          <w:bCs/>
          <w:szCs w:val="28"/>
        </w:rPr>
        <w:t xml:space="preserve"> for the costs and expenses incurred before the Court. </w:t>
      </w:r>
      <w:r w:rsidR="00132673">
        <w:rPr>
          <w:rFonts w:asciiTheme="majorHAnsi" w:eastAsiaTheme="majorEastAsia" w:hAnsiTheme="majorHAnsi" w:cstheme="majorBidi"/>
          <w:bCs/>
          <w:szCs w:val="28"/>
        </w:rPr>
        <w:t xml:space="preserve">They submitted that </w:t>
      </w:r>
      <w:r w:rsidR="00625D44">
        <w:rPr>
          <w:rFonts w:asciiTheme="majorHAnsi" w:eastAsiaTheme="majorEastAsia" w:hAnsiTheme="majorHAnsi" w:cstheme="majorBidi"/>
          <w:bCs/>
          <w:szCs w:val="28"/>
        </w:rPr>
        <w:t>Ms</w:t>
      </w:r>
      <w:r w:rsidR="00132673">
        <w:rPr>
          <w:rFonts w:asciiTheme="majorHAnsi" w:eastAsiaTheme="majorEastAsia" w:hAnsiTheme="majorHAnsi" w:cstheme="majorBidi"/>
          <w:bCs/>
          <w:szCs w:val="28"/>
        </w:rPr>
        <w:t xml:space="preserve"> </w:t>
      </w:r>
      <w:proofErr w:type="spellStart"/>
      <w:r w:rsidR="00132673">
        <w:rPr>
          <w:rFonts w:asciiTheme="majorHAnsi" w:eastAsiaTheme="majorEastAsia" w:hAnsiTheme="majorHAnsi" w:cstheme="majorBidi"/>
          <w:bCs/>
          <w:szCs w:val="28"/>
        </w:rPr>
        <w:t>Golovanchuk</w:t>
      </w:r>
      <w:proofErr w:type="spellEnd"/>
      <w:r w:rsidR="00132673">
        <w:rPr>
          <w:rFonts w:asciiTheme="majorHAnsi" w:eastAsiaTheme="majorEastAsia" w:hAnsiTheme="majorHAnsi" w:cstheme="majorBidi"/>
          <w:bCs/>
          <w:szCs w:val="28"/>
        </w:rPr>
        <w:t xml:space="preserve"> had spent </w:t>
      </w:r>
      <w:r w:rsidR="00AD0351">
        <w:rPr>
          <w:rFonts w:asciiTheme="majorHAnsi" w:eastAsiaTheme="majorEastAsia" w:hAnsiTheme="majorHAnsi" w:cstheme="majorBidi"/>
          <w:bCs/>
          <w:szCs w:val="28"/>
        </w:rPr>
        <w:t>eighty-six</w:t>
      </w:r>
      <w:r w:rsidR="00132673">
        <w:rPr>
          <w:rFonts w:asciiTheme="majorHAnsi" w:eastAsiaTheme="majorEastAsia" w:hAnsiTheme="majorHAnsi" w:cstheme="majorBidi"/>
          <w:bCs/>
          <w:szCs w:val="28"/>
        </w:rPr>
        <w:t xml:space="preserve"> hours on the case, </w:t>
      </w:r>
      <w:r w:rsidR="00AD0351">
        <w:rPr>
          <w:rFonts w:asciiTheme="majorHAnsi" w:eastAsiaTheme="majorEastAsia" w:hAnsiTheme="majorHAnsi" w:cstheme="majorBidi"/>
          <w:bCs/>
          <w:szCs w:val="28"/>
        </w:rPr>
        <w:t>at</w:t>
      </w:r>
      <w:r w:rsidR="00132673">
        <w:rPr>
          <w:rFonts w:asciiTheme="majorHAnsi" w:eastAsiaTheme="majorEastAsia" w:hAnsiTheme="majorHAnsi" w:cstheme="majorBidi"/>
          <w:bCs/>
          <w:szCs w:val="28"/>
        </w:rPr>
        <w:t xml:space="preserve"> an hourly rate of EUR 100.</w:t>
      </w:r>
    </w:p>
    <w:p w:rsidR="007A116E" w:rsidRPr="007A116E" w:rsidRDefault="00132673" w:rsidP="003F63FF">
      <w:pPr>
        <w:pStyle w:val="ECHRPara"/>
        <w:rPr>
          <w:rFonts w:asciiTheme="majorHAnsi" w:eastAsiaTheme="majorEastAsia" w:hAnsiTheme="majorHAnsi" w:cstheme="majorBidi"/>
          <w:bCs/>
          <w:szCs w:val="28"/>
        </w:rPr>
      </w:pPr>
      <w:r w:rsidRPr="00132673">
        <w:rPr>
          <w:rFonts w:asciiTheme="majorHAnsi" w:eastAsiaTheme="majorEastAsia" w:hAnsiTheme="majorHAnsi" w:cstheme="majorBidi"/>
          <w:bCs/>
          <w:szCs w:val="28"/>
        </w:rPr>
        <w:fldChar w:fldCharType="begin"/>
      </w:r>
      <w:r w:rsidRPr="00132673">
        <w:rPr>
          <w:rFonts w:asciiTheme="majorHAnsi" w:eastAsiaTheme="majorEastAsia" w:hAnsiTheme="majorHAnsi" w:cstheme="majorBidi"/>
          <w:bCs/>
          <w:szCs w:val="28"/>
        </w:rPr>
        <w:instrText xml:space="preserve"> SEQ level0 \*arabic </w:instrText>
      </w:r>
      <w:r w:rsidRPr="00132673">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176</w:t>
      </w:r>
      <w:r w:rsidRPr="00132673">
        <w:rPr>
          <w:rFonts w:asciiTheme="majorHAnsi" w:eastAsiaTheme="majorEastAsia" w:hAnsiTheme="majorHAnsi" w:cstheme="majorBidi"/>
          <w:bCs/>
          <w:szCs w:val="28"/>
        </w:rPr>
        <w:fldChar w:fldCharType="end"/>
      </w:r>
      <w:r w:rsidRPr="00132673">
        <w:rPr>
          <w:rFonts w:asciiTheme="majorHAnsi" w:eastAsiaTheme="majorEastAsia" w:hAnsiTheme="majorHAnsi" w:cstheme="majorBidi"/>
          <w:bCs/>
          <w:szCs w:val="28"/>
        </w:rPr>
        <w:t>.  </w:t>
      </w:r>
      <w:r w:rsidR="007A116E" w:rsidRPr="00132673">
        <w:rPr>
          <w:rFonts w:asciiTheme="majorHAnsi" w:eastAsiaTheme="majorEastAsia" w:hAnsiTheme="majorHAnsi" w:cstheme="majorBidi"/>
          <w:bCs/>
          <w:szCs w:val="28"/>
        </w:rPr>
        <w:t>The Government</w:t>
      </w:r>
      <w:r w:rsidR="007A116E" w:rsidRPr="007A116E">
        <w:rPr>
          <w:rFonts w:asciiTheme="majorHAnsi" w:eastAsiaTheme="majorEastAsia" w:hAnsiTheme="majorHAnsi" w:cstheme="majorBidi"/>
          <w:bCs/>
          <w:szCs w:val="28"/>
        </w:rPr>
        <w:t xml:space="preserve"> </w:t>
      </w:r>
      <w:r>
        <w:rPr>
          <w:rFonts w:asciiTheme="majorHAnsi" w:eastAsiaTheme="majorEastAsia" w:hAnsiTheme="majorHAnsi" w:cstheme="majorBidi"/>
          <w:bCs/>
          <w:szCs w:val="28"/>
        </w:rPr>
        <w:t>were of the opinion that the claims were unnecessary and unsubstantiated</w:t>
      </w:r>
      <w:r w:rsidR="007A116E" w:rsidRPr="007A116E">
        <w:rPr>
          <w:rFonts w:asciiTheme="majorHAnsi" w:eastAsiaTheme="majorEastAsia" w:hAnsiTheme="majorHAnsi" w:cstheme="majorBidi"/>
          <w:bCs/>
          <w:szCs w:val="28"/>
        </w:rPr>
        <w:t>.</w:t>
      </w:r>
    </w:p>
    <w:p w:rsidR="007A116E" w:rsidRPr="007A116E" w:rsidRDefault="00132673" w:rsidP="003F63FF">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177</w:t>
      </w:r>
      <w:r>
        <w:rPr>
          <w:rFonts w:asciiTheme="majorHAnsi" w:eastAsiaTheme="majorEastAsia" w:hAnsiTheme="majorHAnsi" w:cstheme="majorBidi"/>
          <w:bCs/>
          <w:szCs w:val="28"/>
        </w:rPr>
        <w:fldChar w:fldCharType="end"/>
      </w:r>
      <w:r>
        <w:rPr>
          <w:rFonts w:asciiTheme="majorHAnsi" w:eastAsiaTheme="majorEastAsia" w:hAnsiTheme="majorHAnsi" w:cstheme="majorBidi"/>
          <w:bCs/>
          <w:szCs w:val="28"/>
        </w:rPr>
        <w:t>.  </w:t>
      </w:r>
      <w:r w:rsidRPr="00132673">
        <w:rPr>
          <w:rFonts w:asciiTheme="majorHAnsi" w:eastAsiaTheme="majorEastAsia" w:hAnsiTheme="majorHAnsi" w:cstheme="majorBidi"/>
          <w:bCs/>
          <w:szCs w:val="28"/>
        </w:rPr>
        <w:t>According to the Court</w:t>
      </w:r>
      <w:r w:rsidR="00BA3D89">
        <w:rPr>
          <w:rFonts w:asciiTheme="majorHAnsi" w:eastAsiaTheme="majorEastAsia" w:hAnsiTheme="majorHAnsi" w:cstheme="majorBidi"/>
          <w:bCs/>
          <w:szCs w:val="28"/>
        </w:rPr>
        <w:t>’</w:t>
      </w:r>
      <w:r w:rsidRPr="00132673">
        <w:rPr>
          <w:rFonts w:asciiTheme="majorHAnsi" w:eastAsiaTheme="majorEastAsia" w:hAnsiTheme="majorHAnsi" w:cstheme="majorBidi"/>
          <w:bCs/>
          <w:szCs w:val="28"/>
        </w:rPr>
        <w:t xml:space="preserve">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the sum </w:t>
      </w:r>
      <w:r>
        <w:rPr>
          <w:rFonts w:asciiTheme="majorHAnsi" w:eastAsiaTheme="majorEastAsia" w:hAnsiTheme="majorHAnsi" w:cstheme="majorBidi"/>
          <w:bCs/>
          <w:szCs w:val="28"/>
        </w:rPr>
        <w:t>as claimed</w:t>
      </w:r>
      <w:r w:rsidRPr="00132673">
        <w:rPr>
          <w:rFonts w:asciiTheme="majorHAnsi" w:eastAsiaTheme="majorEastAsia" w:hAnsiTheme="majorHAnsi" w:cstheme="majorBidi"/>
          <w:bCs/>
          <w:szCs w:val="28"/>
        </w:rPr>
        <w:t>, covering costs under all heads plus any tax that may</w:t>
      </w:r>
      <w:r w:rsidR="004B4951">
        <w:rPr>
          <w:rFonts w:asciiTheme="majorHAnsi" w:eastAsiaTheme="majorEastAsia" w:hAnsiTheme="majorHAnsi" w:cstheme="majorBidi"/>
          <w:bCs/>
          <w:szCs w:val="28"/>
        </w:rPr>
        <w:t xml:space="preserve"> be chargeable to the applicant</w:t>
      </w:r>
      <w:r w:rsidR="00057C2E">
        <w:rPr>
          <w:rFonts w:asciiTheme="majorHAnsi" w:eastAsiaTheme="majorEastAsia" w:hAnsiTheme="majorHAnsi" w:cstheme="majorBidi"/>
          <w:bCs/>
          <w:szCs w:val="28"/>
        </w:rPr>
        <w:t>s</w:t>
      </w:r>
      <w:r w:rsidRPr="00132673">
        <w:rPr>
          <w:rFonts w:asciiTheme="majorHAnsi" w:eastAsiaTheme="majorEastAsia" w:hAnsiTheme="majorHAnsi" w:cstheme="majorBidi"/>
          <w:bCs/>
          <w:szCs w:val="28"/>
        </w:rPr>
        <w:t>.</w:t>
      </w:r>
    </w:p>
    <w:p w:rsidR="007A116E" w:rsidRPr="007A116E" w:rsidRDefault="002F3277" w:rsidP="00132673">
      <w:pPr>
        <w:pStyle w:val="ECHRHeading3"/>
        <w:rPr>
          <w:bCs w:val="0"/>
          <w:szCs w:val="28"/>
        </w:rPr>
      </w:pPr>
      <w:r>
        <w:rPr>
          <w:szCs w:val="28"/>
        </w:rPr>
        <w:lastRenderedPageBreak/>
        <w:t>3.  </w:t>
      </w:r>
      <w:r w:rsidR="007A116E" w:rsidRPr="007A116E">
        <w:rPr>
          <w:szCs w:val="28"/>
        </w:rPr>
        <w:t xml:space="preserve">Default </w:t>
      </w:r>
      <w:r w:rsidR="007A116E" w:rsidRPr="00132673">
        <w:t>interest</w:t>
      </w:r>
    </w:p>
    <w:p w:rsidR="007A116E" w:rsidRDefault="00470C79" w:rsidP="003F63FF">
      <w:pPr>
        <w:pStyle w:val="ECHRPara"/>
        <w:rPr>
          <w:rFonts w:asciiTheme="majorHAnsi" w:eastAsiaTheme="majorEastAsia" w:hAnsiTheme="majorHAnsi" w:cstheme="majorBidi"/>
          <w:bCs/>
          <w:szCs w:val="28"/>
        </w:rPr>
      </w:pPr>
      <w:r>
        <w:rPr>
          <w:rFonts w:asciiTheme="majorHAnsi" w:eastAsiaTheme="majorEastAsia" w:hAnsiTheme="majorHAnsi" w:cstheme="majorBidi"/>
          <w:bCs/>
          <w:szCs w:val="28"/>
        </w:rPr>
        <w:fldChar w:fldCharType="begin"/>
      </w:r>
      <w:r>
        <w:rPr>
          <w:rFonts w:asciiTheme="majorHAnsi" w:eastAsiaTheme="majorEastAsia" w:hAnsiTheme="majorHAnsi" w:cstheme="majorBidi"/>
          <w:bCs/>
          <w:szCs w:val="28"/>
        </w:rPr>
        <w:instrText xml:space="preserve"> SEQ level0 \*arabic </w:instrText>
      </w:r>
      <w:r>
        <w:rPr>
          <w:rFonts w:asciiTheme="majorHAnsi" w:eastAsiaTheme="majorEastAsia" w:hAnsiTheme="majorHAnsi" w:cstheme="majorBidi"/>
          <w:bCs/>
          <w:szCs w:val="28"/>
        </w:rPr>
        <w:fldChar w:fldCharType="separate"/>
      </w:r>
      <w:r w:rsidR="00D21AD2">
        <w:rPr>
          <w:rFonts w:asciiTheme="majorHAnsi" w:eastAsiaTheme="majorEastAsia" w:hAnsiTheme="majorHAnsi" w:cstheme="majorBidi"/>
          <w:bCs/>
          <w:noProof/>
          <w:szCs w:val="28"/>
        </w:rPr>
        <w:t>178</w:t>
      </w:r>
      <w:r>
        <w:rPr>
          <w:rFonts w:asciiTheme="majorHAnsi" w:eastAsiaTheme="majorEastAsia" w:hAnsiTheme="majorHAnsi" w:cstheme="majorBidi"/>
          <w:bCs/>
          <w:szCs w:val="28"/>
        </w:rPr>
        <w:fldChar w:fldCharType="end"/>
      </w:r>
      <w:r>
        <w:rPr>
          <w:rFonts w:asciiTheme="majorHAnsi" w:eastAsiaTheme="majorEastAsia" w:hAnsiTheme="majorHAnsi" w:cstheme="majorBidi"/>
          <w:bCs/>
          <w:szCs w:val="28"/>
        </w:rPr>
        <w:t>.  </w:t>
      </w:r>
      <w:r w:rsidR="007A116E" w:rsidRPr="007A116E">
        <w:rPr>
          <w:rFonts w:asciiTheme="majorHAnsi" w:eastAsiaTheme="majorEastAsia" w:hAnsiTheme="majorHAnsi" w:cstheme="majorBidi"/>
          <w:bCs/>
          <w:szCs w:val="28"/>
        </w:rPr>
        <w:t>The Court considers it appropriate that the default interest rate should be based on the marginal lending rate of the European Central Bank, to which should be added three percentage points.</w:t>
      </w:r>
    </w:p>
    <w:p w:rsidR="0094505E" w:rsidRPr="00E83AD8" w:rsidRDefault="0094505E" w:rsidP="00E83AD8">
      <w:pPr>
        <w:pStyle w:val="ECHRHeading1"/>
      </w:pPr>
      <w:r w:rsidRPr="00E83AD8">
        <w:t>VI</w:t>
      </w:r>
      <w:r w:rsidR="008A7596" w:rsidRPr="00E83AD8">
        <w:t>I</w:t>
      </w:r>
      <w:r w:rsidR="00943B86" w:rsidRPr="00E83AD8">
        <w:t>.</w:t>
      </w:r>
      <w:proofErr w:type="gramStart"/>
      <w:r w:rsidR="00943B86" w:rsidRPr="00E83AD8">
        <w:t>  </w:t>
      </w:r>
      <w:r w:rsidRPr="00E83AD8">
        <w:t>RULE</w:t>
      </w:r>
      <w:proofErr w:type="gramEnd"/>
      <w:r w:rsidRPr="00E83AD8">
        <w:t xml:space="preserve"> 39 OF THE RULES OF COURT</w:t>
      </w:r>
    </w:p>
    <w:p w:rsidR="0094505E" w:rsidRDefault="0094505E" w:rsidP="0094505E">
      <w:pPr>
        <w:pStyle w:val="ECHRPara"/>
      </w:pPr>
      <w:r>
        <w:fldChar w:fldCharType="begin"/>
      </w:r>
      <w:r>
        <w:instrText xml:space="preserve"> SEQ level0 \*arabic </w:instrText>
      </w:r>
      <w:r>
        <w:fldChar w:fldCharType="separate"/>
      </w:r>
      <w:r w:rsidR="00D21AD2">
        <w:rPr>
          <w:noProof/>
        </w:rPr>
        <w:t>179</w:t>
      </w:r>
      <w:r>
        <w:fldChar w:fldCharType="end"/>
      </w:r>
      <w:r w:rsidRPr="00E83AD8">
        <w:t>.  The Court notes that, in accordance with Article 44 § 2 of the Convention, the present judgment will not become final until (a) the parties declare that they will not request that the case be referred to the Grand Chamber; (b) three months after the date of the judgment, if reference of the case to the Grand Chamber has not been requested; or (c) the Panel of the Grand Chamber rejects any request to refer under Article 43 of the Convention.</w:t>
      </w:r>
    </w:p>
    <w:p w:rsidR="0094505E" w:rsidRDefault="0094505E" w:rsidP="0094505E">
      <w:pPr>
        <w:pStyle w:val="ECHRPara"/>
      </w:pPr>
      <w:r>
        <w:fldChar w:fldCharType="begin"/>
      </w:r>
      <w:r>
        <w:instrText xml:space="preserve"> SEQ level0 \*arabic </w:instrText>
      </w:r>
      <w:r>
        <w:fldChar w:fldCharType="separate"/>
      </w:r>
      <w:r w:rsidR="00D21AD2">
        <w:rPr>
          <w:noProof/>
        </w:rPr>
        <w:t>180</w:t>
      </w:r>
      <w:r>
        <w:fldChar w:fldCharType="end"/>
      </w:r>
      <w:r w:rsidRPr="00E83AD8">
        <w:t xml:space="preserve">.  The Court notes that </w:t>
      </w:r>
      <w:r w:rsidR="00057C2E">
        <w:t>the</w:t>
      </w:r>
      <w:r w:rsidRPr="00E83AD8">
        <w:t xml:space="preserve"> applicants are still formally liable to administrative removal pursuant to the final judgments of the Russian courts. Having regard to the finding that their removal to Syria would be in breach of Articles 2 and 3, the Court considers that the indication made to the Government under Rule 39 of the Rules of Court (see paragraph 4 above) must remain in force until the present judgment becomes final or until further notice.</w:t>
      </w:r>
    </w:p>
    <w:p w:rsidR="00014566" w:rsidRPr="00062973" w:rsidRDefault="00BB5883" w:rsidP="00014566">
      <w:pPr>
        <w:pStyle w:val="ECHRTitle1"/>
      </w:pPr>
      <w:r>
        <w:t>FOR THESE REASONS, THE COURT</w:t>
      </w:r>
      <w:r w:rsidR="00C94B3B" w:rsidRPr="00062973">
        <w:t>, UNANIMOUSLY,</w:t>
      </w:r>
    </w:p>
    <w:p w:rsidR="004531E2" w:rsidRDefault="00C94B3B" w:rsidP="00C621C2">
      <w:pPr>
        <w:pStyle w:val="JuList"/>
      </w:pPr>
      <w:r w:rsidRPr="006F24DB">
        <w:t>1.  </w:t>
      </w:r>
      <w:r w:rsidR="004531E2" w:rsidRPr="00DE77B9">
        <w:rPr>
          <w:i/>
        </w:rPr>
        <w:t>Decides</w:t>
      </w:r>
      <w:r w:rsidR="004531E2" w:rsidRPr="004531E2">
        <w:t xml:space="preserve"> to join the applications</w:t>
      </w:r>
      <w:r w:rsidR="004531E2">
        <w:t>;</w:t>
      </w:r>
    </w:p>
    <w:p w:rsidR="004531E2" w:rsidRDefault="004531E2" w:rsidP="00C621C2">
      <w:pPr>
        <w:pStyle w:val="JuList"/>
      </w:pPr>
    </w:p>
    <w:p w:rsidR="00014566" w:rsidRPr="00062973" w:rsidRDefault="004531E2" w:rsidP="00C621C2">
      <w:pPr>
        <w:pStyle w:val="JuList"/>
      </w:pPr>
      <w:r>
        <w:t>2.  </w:t>
      </w:r>
      <w:proofErr w:type="gramStart"/>
      <w:r w:rsidR="00C94B3B" w:rsidRPr="006F24DB">
        <w:rPr>
          <w:i/>
        </w:rPr>
        <w:t>Declares</w:t>
      </w:r>
      <w:proofErr w:type="gramEnd"/>
      <w:r w:rsidR="00C94B3B" w:rsidRPr="006F24DB">
        <w:t xml:space="preserve"> the </w:t>
      </w:r>
      <w:r>
        <w:t>complaints under Articles 2 and 3 concerning the applicants</w:t>
      </w:r>
      <w:r w:rsidR="00BA3D89">
        <w:t>’</w:t>
      </w:r>
      <w:r>
        <w:t xml:space="preserve"> </w:t>
      </w:r>
      <w:r w:rsidR="00AD0351">
        <w:t>expulsion</w:t>
      </w:r>
      <w:r w:rsidR="0094505E">
        <w:t>,</w:t>
      </w:r>
      <w:r w:rsidR="00AD0351">
        <w:t xml:space="preserve"> and under</w:t>
      </w:r>
      <w:r>
        <w:t xml:space="preserve"> Articles 5 and 13</w:t>
      </w:r>
      <w:r w:rsidR="00C94B3B" w:rsidRPr="006F24DB">
        <w:t xml:space="preserve"> admissible</w:t>
      </w:r>
      <w:r>
        <w:t xml:space="preserve">, and </w:t>
      </w:r>
      <w:r w:rsidRPr="00E83AD8">
        <w:rPr>
          <w:rStyle w:val="JuParaCar"/>
        </w:rPr>
        <w:t>the remainder of the applications inadmissible</w:t>
      </w:r>
      <w:r w:rsidR="00C94B3B" w:rsidRPr="006F24DB">
        <w:t>;</w:t>
      </w:r>
    </w:p>
    <w:p w:rsidR="00014566" w:rsidRPr="00062973" w:rsidRDefault="00014566" w:rsidP="00DB7196">
      <w:pPr>
        <w:pStyle w:val="JuList"/>
        <w:ind w:left="0" w:firstLine="0"/>
      </w:pPr>
    </w:p>
    <w:p w:rsidR="00C94B3B" w:rsidRPr="00062973" w:rsidRDefault="00360AF0" w:rsidP="00C621C2">
      <w:pPr>
        <w:pStyle w:val="JuList"/>
      </w:pPr>
      <w:r>
        <w:t>3</w:t>
      </w:r>
      <w:r w:rsidR="00014566" w:rsidRPr="00062973">
        <w:t>.  </w:t>
      </w:r>
      <w:r w:rsidR="00014566" w:rsidRPr="00062973">
        <w:rPr>
          <w:i/>
        </w:rPr>
        <w:t>Holds</w:t>
      </w:r>
      <w:r w:rsidR="00C94B3B" w:rsidRPr="00062973">
        <w:t xml:space="preserve"> </w:t>
      </w:r>
      <w:r w:rsidR="00014566" w:rsidRPr="00062973">
        <w:t xml:space="preserve">that </w:t>
      </w:r>
      <w:r w:rsidR="00470C79" w:rsidRPr="00470C79">
        <w:t>the forced return of the applicant</w:t>
      </w:r>
      <w:r w:rsidR="00AD0351">
        <w:t>s</w:t>
      </w:r>
      <w:r w:rsidR="00470C79" w:rsidRPr="00470C79">
        <w:t xml:space="preserve"> to </w:t>
      </w:r>
      <w:r w:rsidR="00470C79">
        <w:t>Syria</w:t>
      </w:r>
      <w:r w:rsidR="00470C79" w:rsidRPr="00470C79">
        <w:t xml:space="preserve"> would give rise to a violation of Article</w:t>
      </w:r>
      <w:r w:rsidR="00470C79">
        <w:t>s 2 and/or</w:t>
      </w:r>
      <w:r w:rsidR="00470C79" w:rsidRPr="00470C79">
        <w:t xml:space="preserve"> 3 of the Convention</w:t>
      </w:r>
      <w:r w:rsidR="00014566" w:rsidRPr="00062973">
        <w:t>;</w:t>
      </w:r>
    </w:p>
    <w:p w:rsidR="00C94B3B" w:rsidRPr="00062973" w:rsidRDefault="00C94B3B" w:rsidP="00C621C2">
      <w:pPr>
        <w:pStyle w:val="JuList"/>
      </w:pPr>
    </w:p>
    <w:p w:rsidR="00D37A4D" w:rsidRDefault="00470C79" w:rsidP="00C621C2">
      <w:pPr>
        <w:pStyle w:val="JuList"/>
      </w:pPr>
      <w:r>
        <w:t>4</w:t>
      </w:r>
      <w:r w:rsidR="00C94B3B" w:rsidRPr="00062973">
        <w:t>.  </w:t>
      </w:r>
      <w:r w:rsidR="00D37A4D" w:rsidRPr="00062973">
        <w:rPr>
          <w:i/>
        </w:rPr>
        <w:t>Holds</w:t>
      </w:r>
      <w:r w:rsidR="00D37A4D" w:rsidRPr="00062973">
        <w:t xml:space="preserve"> that </w:t>
      </w:r>
      <w:r w:rsidR="001A39D7">
        <w:t>it is not necessary to examine the complaint under</w:t>
      </w:r>
      <w:r w:rsidR="00D37A4D" w:rsidRPr="00470C79">
        <w:t xml:space="preserve"> Article</w:t>
      </w:r>
      <w:r w:rsidR="00D37A4D">
        <w:t xml:space="preserve"> 1</w:t>
      </w:r>
      <w:r w:rsidR="00D37A4D" w:rsidRPr="00470C79">
        <w:t>3</w:t>
      </w:r>
      <w:r w:rsidR="001A39D7">
        <w:t>, in conjunction with Articles 2 and/or 3</w:t>
      </w:r>
      <w:r w:rsidR="00D37A4D" w:rsidRPr="00470C79">
        <w:t xml:space="preserve"> of the Convention</w:t>
      </w:r>
      <w:r w:rsidR="00D37A4D" w:rsidRPr="00062973">
        <w:t>;</w:t>
      </w:r>
    </w:p>
    <w:p w:rsidR="00D37A4D" w:rsidRDefault="00D37A4D" w:rsidP="00C621C2">
      <w:pPr>
        <w:pStyle w:val="JuList"/>
      </w:pPr>
    </w:p>
    <w:p w:rsidR="00014566" w:rsidRDefault="00D37A4D" w:rsidP="00C621C2">
      <w:pPr>
        <w:pStyle w:val="JuList"/>
      </w:pPr>
      <w:r>
        <w:t>5</w:t>
      </w:r>
      <w:r w:rsidRPr="00062973">
        <w:t>.  </w:t>
      </w:r>
      <w:r w:rsidR="0094505E" w:rsidRPr="00062973">
        <w:rPr>
          <w:i/>
        </w:rPr>
        <w:t>Holds</w:t>
      </w:r>
      <w:r w:rsidR="0094505E" w:rsidRPr="00062973">
        <w:t xml:space="preserve"> that there has been a violation of Article </w:t>
      </w:r>
      <w:r w:rsidR="0094505E">
        <w:t>5 § 4</w:t>
      </w:r>
      <w:r w:rsidR="0094505E" w:rsidRPr="00062973">
        <w:t xml:space="preserve"> of the Convention</w:t>
      </w:r>
      <w:r w:rsidR="00BF5445">
        <w:t>;</w:t>
      </w:r>
    </w:p>
    <w:p w:rsidR="00BF5445" w:rsidRPr="00062973" w:rsidRDefault="00BF5445" w:rsidP="00C621C2">
      <w:pPr>
        <w:pStyle w:val="JuList"/>
      </w:pPr>
    </w:p>
    <w:p w:rsidR="00014566" w:rsidRPr="00062973" w:rsidRDefault="00D37A4D" w:rsidP="00C621C2">
      <w:pPr>
        <w:pStyle w:val="JuList"/>
      </w:pPr>
      <w:r>
        <w:t>6</w:t>
      </w:r>
      <w:r w:rsidR="00014566" w:rsidRPr="00062973">
        <w:t>.  </w:t>
      </w:r>
      <w:r w:rsidR="0094505E" w:rsidRPr="007B2F37">
        <w:rPr>
          <w:i/>
        </w:rPr>
        <w:t>Holds</w:t>
      </w:r>
      <w:r w:rsidR="0094505E">
        <w:t xml:space="preserve"> </w:t>
      </w:r>
      <w:r w:rsidR="0094505E" w:rsidRPr="004531E2">
        <w:t xml:space="preserve">that </w:t>
      </w:r>
      <w:r w:rsidR="0094505E">
        <w:t>there has been a</w:t>
      </w:r>
      <w:r w:rsidR="0094505E" w:rsidRPr="004531E2">
        <w:t xml:space="preserve"> violation of Article 5 § 1 </w:t>
      </w:r>
      <w:r w:rsidR="0094505E">
        <w:t xml:space="preserve">(f) </w:t>
      </w:r>
      <w:r w:rsidR="0094505E" w:rsidRPr="004531E2">
        <w:t>of the Convention</w:t>
      </w:r>
      <w:r w:rsidR="00014566" w:rsidRPr="00062973">
        <w:t>;</w:t>
      </w:r>
    </w:p>
    <w:p w:rsidR="00014566" w:rsidRPr="00062973" w:rsidRDefault="00014566" w:rsidP="00C621C2">
      <w:pPr>
        <w:pStyle w:val="JuList"/>
      </w:pPr>
    </w:p>
    <w:p w:rsidR="00C94B3B" w:rsidRPr="00062973" w:rsidRDefault="00D37A4D" w:rsidP="00C621C2">
      <w:pPr>
        <w:pStyle w:val="JuList"/>
        <w:rPr>
          <w:szCs w:val="24"/>
        </w:rPr>
      </w:pPr>
      <w:r>
        <w:lastRenderedPageBreak/>
        <w:t>7</w:t>
      </w:r>
      <w:r w:rsidR="00014566" w:rsidRPr="00062973">
        <w:t>.  </w:t>
      </w:r>
      <w:r w:rsidR="00014566" w:rsidRPr="00062973">
        <w:rPr>
          <w:i/>
        </w:rPr>
        <w:t>Holds</w:t>
      </w:r>
      <w:r w:rsidR="00014566" w:rsidRPr="00062973">
        <w:rPr>
          <w:color w:val="000000"/>
        </w:rPr>
        <w:t xml:space="preserve"> </w:t>
      </w:r>
      <w:r w:rsidR="00014566" w:rsidRPr="00062973">
        <w:t xml:space="preserve">that </w:t>
      </w:r>
      <w:r w:rsidR="00BF5445" w:rsidRPr="00BF5445">
        <w:t>that the respondent State has failed to comply with its obligations under Article 34 of the Convention</w:t>
      </w:r>
      <w:r w:rsidR="00014566" w:rsidRPr="00062973">
        <w:t>;</w:t>
      </w:r>
    </w:p>
    <w:p w:rsidR="00C94B3B" w:rsidRPr="00062973" w:rsidRDefault="00C94B3B" w:rsidP="00C621C2">
      <w:pPr>
        <w:pStyle w:val="JuList"/>
      </w:pPr>
    </w:p>
    <w:p w:rsidR="00BF5445" w:rsidRDefault="00D37A4D" w:rsidP="00BF5445">
      <w:pPr>
        <w:pStyle w:val="JuList"/>
      </w:pPr>
      <w:r>
        <w:t>8</w:t>
      </w:r>
      <w:r w:rsidR="00C94B3B" w:rsidRPr="00062973">
        <w:t>.  </w:t>
      </w:r>
      <w:r w:rsidR="0094505E" w:rsidRPr="00943B86">
        <w:rPr>
          <w:i/>
        </w:rPr>
        <w:t>Holds</w:t>
      </w:r>
      <w:r w:rsidR="0094505E" w:rsidRPr="004531E2">
        <w:t xml:space="preserve"> that the respondent State is to ensure </w:t>
      </w:r>
      <w:r w:rsidR="003C6AD6">
        <w:t xml:space="preserve">immediate release of </w:t>
      </w:r>
      <w:r w:rsidR="0094505E" w:rsidRPr="004531E2">
        <w:t>applicant</w:t>
      </w:r>
      <w:r w:rsidR="0094505E">
        <w:t>s L.M. and M.A.</w:t>
      </w:r>
      <w:r w:rsidR="00BF5445" w:rsidRPr="00062973">
        <w:t>;</w:t>
      </w:r>
    </w:p>
    <w:p w:rsidR="00BF5445" w:rsidRDefault="00BF5445" w:rsidP="00BF5445">
      <w:pPr>
        <w:pStyle w:val="JuList"/>
      </w:pPr>
    </w:p>
    <w:p w:rsidR="009E1BDD" w:rsidRDefault="00D37A4D" w:rsidP="00C621C2">
      <w:pPr>
        <w:pStyle w:val="JuList"/>
      </w:pPr>
      <w:r>
        <w:t>9</w:t>
      </w:r>
      <w:r w:rsidR="00014566" w:rsidRPr="00062973">
        <w:t>.  </w:t>
      </w:r>
      <w:r w:rsidR="00014566" w:rsidRPr="00062973">
        <w:rPr>
          <w:i/>
        </w:rPr>
        <w:t>Holds</w:t>
      </w:r>
    </w:p>
    <w:p w:rsidR="00014566" w:rsidRPr="00062973" w:rsidRDefault="00014566" w:rsidP="00014566">
      <w:pPr>
        <w:pStyle w:val="JuLista"/>
      </w:pPr>
      <w:r w:rsidRPr="00062973">
        <w:t>(a)  that the respondent State is to pay the applicant</w:t>
      </w:r>
      <w:r w:rsidR="00C94B3B" w:rsidRPr="00062973">
        <w:t>s</w:t>
      </w:r>
      <w:r w:rsidRPr="00062973">
        <w:t>, within three months</w:t>
      </w:r>
      <w:r w:rsidR="00C94B3B">
        <w:t xml:space="preserve"> </w:t>
      </w:r>
      <w:r w:rsidR="00C94B3B" w:rsidRPr="00062973">
        <w:t>from the date on which the judgment becomes final in accordance with Article 44 § 2 of the Convention,</w:t>
      </w:r>
      <w:r w:rsidRPr="00062973">
        <w:t xml:space="preserve"> the following amounts</w:t>
      </w:r>
      <w:r w:rsidRPr="00E9597F">
        <w:t>,</w:t>
      </w:r>
      <w:r w:rsidRPr="00062973">
        <w:rPr>
          <w:b/>
        </w:rPr>
        <w:t xml:space="preserve"> </w:t>
      </w:r>
      <w:r w:rsidRPr="003C6AD6">
        <w:t xml:space="preserve">to be converted into </w:t>
      </w:r>
      <w:r w:rsidRPr="003C6AD6">
        <w:rPr>
          <w:color w:val="000000"/>
        </w:rPr>
        <w:t>the currency of the respondent State</w:t>
      </w:r>
      <w:r w:rsidRPr="00062973">
        <w:t xml:space="preserve"> at the rate applicable at the date of settlement:</w:t>
      </w:r>
    </w:p>
    <w:p w:rsidR="00014566" w:rsidRPr="00062973" w:rsidRDefault="007B2F37" w:rsidP="00014566">
      <w:pPr>
        <w:pStyle w:val="JuListi"/>
      </w:pPr>
      <w:r>
        <w:t>(i)  EUR </w:t>
      </w:r>
      <w:r w:rsidR="001760AD">
        <w:t>9,000</w:t>
      </w:r>
      <w:r w:rsidR="00014566" w:rsidRPr="00062973">
        <w:t xml:space="preserve"> (</w:t>
      </w:r>
      <w:r w:rsidR="001760AD">
        <w:t>nine thousand euros)</w:t>
      </w:r>
      <w:r w:rsidR="00014566" w:rsidRPr="00062973">
        <w:t>, plus any tax that may be chargeable,</w:t>
      </w:r>
      <w:r w:rsidR="001760AD">
        <w:t xml:space="preserve"> </w:t>
      </w:r>
      <w:r w:rsidR="000F5790">
        <w:t xml:space="preserve">to each of the applicants </w:t>
      </w:r>
      <w:r w:rsidR="00014566" w:rsidRPr="00062973">
        <w:t>in respect of non-pecuniary damage</w:t>
      </w:r>
      <w:r w:rsidR="00625D44">
        <w:t xml:space="preserve">. </w:t>
      </w:r>
      <w:r w:rsidR="00625D44" w:rsidRPr="00F7005A">
        <w:t xml:space="preserve">The award made to A.A. is to be held for him in trust by his representative Ms N. </w:t>
      </w:r>
      <w:proofErr w:type="spellStart"/>
      <w:r w:rsidR="00625D44" w:rsidRPr="00F7005A">
        <w:t>Golovanchuk</w:t>
      </w:r>
      <w:proofErr w:type="spellEnd"/>
      <w:r w:rsidR="00625D44" w:rsidRPr="00F7005A">
        <w:t xml:space="preserve"> until such time as payment to the applicant may be enforced</w:t>
      </w:r>
      <w:r w:rsidR="00014566" w:rsidRPr="00F7005A">
        <w:t>;</w:t>
      </w:r>
    </w:p>
    <w:p w:rsidR="00014566" w:rsidRPr="00062973" w:rsidRDefault="001760AD" w:rsidP="00014566">
      <w:pPr>
        <w:pStyle w:val="JuListi"/>
      </w:pPr>
      <w:r>
        <w:t>(i</w:t>
      </w:r>
      <w:r w:rsidR="007B2F37">
        <w:t>i)  EUR </w:t>
      </w:r>
      <w:r>
        <w:t>8,600</w:t>
      </w:r>
      <w:r w:rsidR="00014566" w:rsidRPr="00062973">
        <w:t xml:space="preserve"> (</w:t>
      </w:r>
      <w:r>
        <w:t xml:space="preserve">eight thousand six hundred </w:t>
      </w:r>
      <w:r w:rsidR="00014566" w:rsidRPr="00062973">
        <w:t>euros), plus any tax that may be chargeable to the applicant</w:t>
      </w:r>
      <w:r w:rsidR="00C94B3B" w:rsidRPr="00062973">
        <w:t>s</w:t>
      </w:r>
      <w:r w:rsidR="00014566" w:rsidRPr="00062973">
        <w:t xml:space="preserve">, </w:t>
      </w:r>
      <w:r w:rsidR="000F5790">
        <w:t xml:space="preserve">jointly, </w:t>
      </w:r>
      <w:r w:rsidR="00014566" w:rsidRPr="00062973">
        <w:t>in respect of costs and expenses;</w:t>
      </w:r>
    </w:p>
    <w:p w:rsidR="00014566" w:rsidRDefault="00014566" w:rsidP="00014566">
      <w:pPr>
        <w:pStyle w:val="JuLista"/>
      </w:pPr>
      <w:r w:rsidRPr="00062973">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3C6AD6" w:rsidRDefault="003C6AD6" w:rsidP="00014566">
      <w:pPr>
        <w:pStyle w:val="JuLista"/>
      </w:pPr>
    </w:p>
    <w:p w:rsidR="003C6AD6" w:rsidRDefault="00D37A4D" w:rsidP="003C6AD6">
      <w:pPr>
        <w:pStyle w:val="JuList"/>
      </w:pPr>
      <w:r>
        <w:t>10</w:t>
      </w:r>
      <w:r w:rsidR="003C6AD6" w:rsidRPr="00062973">
        <w:t>.  </w:t>
      </w:r>
      <w:r w:rsidR="003C6AD6" w:rsidRPr="00062973">
        <w:rPr>
          <w:i/>
        </w:rPr>
        <w:t>Decides</w:t>
      </w:r>
      <w:r w:rsidR="003C6AD6" w:rsidRPr="00062973">
        <w:t xml:space="preserve"> to continue to indicate to the Government under Rule 39 of the Rules of Court that it is desirable in the interests of the proper conduct of the proceedings not to expel the applicants until such time as the present judgment becomes final or until further order</w:t>
      </w:r>
      <w:r w:rsidR="003C6AD6">
        <w:t>.</w:t>
      </w:r>
    </w:p>
    <w:p w:rsidR="00014566" w:rsidRPr="00062973" w:rsidRDefault="00014566" w:rsidP="00014566">
      <w:pPr>
        <w:pStyle w:val="JuParaLast"/>
      </w:pPr>
      <w:r w:rsidRPr="00062973">
        <w:t xml:space="preserve">Done in English, and notified in writing on </w:t>
      </w:r>
      <w:r w:rsidR="00E83AD8">
        <w:t>15 October 2015</w:t>
      </w:r>
      <w:r w:rsidRPr="00062973">
        <w:t>, pursuant to Rule 77 §§ 2 and 3 of the Rules of Court.</w:t>
      </w:r>
    </w:p>
    <w:p w:rsidR="00014566" w:rsidRPr="00DA5CB8" w:rsidRDefault="00014566" w:rsidP="00C621C2">
      <w:pPr>
        <w:pStyle w:val="JuSigned"/>
        <w:rPr>
          <w:lang w:val="de-DE"/>
        </w:rPr>
      </w:pPr>
      <w:r w:rsidRPr="00062973">
        <w:tab/>
      </w:r>
      <w:proofErr w:type="spellStart"/>
      <w:r w:rsidR="00C94B3B" w:rsidRPr="00DA5CB8">
        <w:rPr>
          <w:lang w:val="de-DE"/>
        </w:rPr>
        <w:t>Søren</w:t>
      </w:r>
      <w:proofErr w:type="spellEnd"/>
      <w:r w:rsidR="00C94B3B" w:rsidRPr="00DA5CB8">
        <w:rPr>
          <w:lang w:val="de-DE"/>
        </w:rPr>
        <w:t xml:space="preserve"> Nielsen</w:t>
      </w:r>
      <w:r w:rsidRPr="00DA5CB8">
        <w:rPr>
          <w:lang w:val="de-DE"/>
        </w:rPr>
        <w:tab/>
      </w:r>
      <w:proofErr w:type="spellStart"/>
      <w:r w:rsidR="00643B56">
        <w:rPr>
          <w:szCs w:val="24"/>
          <w:lang w:val="de-DE"/>
        </w:rPr>
        <w:t>Andr</w:t>
      </w:r>
      <w:r w:rsidR="00643B56">
        <w:rPr>
          <w:rFonts w:cstheme="minorHAnsi"/>
          <w:szCs w:val="24"/>
          <w:lang w:val="de-DE"/>
        </w:rPr>
        <w:t>á</w:t>
      </w:r>
      <w:r w:rsidR="00643B56">
        <w:rPr>
          <w:szCs w:val="24"/>
          <w:lang w:val="de-DE"/>
        </w:rPr>
        <w:t>s</w:t>
      </w:r>
      <w:proofErr w:type="spellEnd"/>
      <w:r w:rsidR="00643B56" w:rsidRPr="00B01645">
        <w:rPr>
          <w:szCs w:val="24"/>
          <w:lang w:val="de-DE"/>
        </w:rPr>
        <w:t xml:space="preserve"> </w:t>
      </w:r>
      <w:proofErr w:type="spellStart"/>
      <w:r w:rsidR="00643B56">
        <w:rPr>
          <w:szCs w:val="24"/>
          <w:lang w:val="de-DE"/>
        </w:rPr>
        <w:t>Saj</w:t>
      </w:r>
      <w:r w:rsidR="00643B56">
        <w:rPr>
          <w:rFonts w:cstheme="minorHAnsi"/>
          <w:szCs w:val="24"/>
          <w:lang w:val="de-DE"/>
        </w:rPr>
        <w:t>ó</w:t>
      </w:r>
      <w:proofErr w:type="spellEnd"/>
      <w:r w:rsidR="00E1557C" w:rsidRPr="00DA5CB8">
        <w:rPr>
          <w:szCs w:val="24"/>
          <w:lang w:val="de-DE"/>
        </w:rPr>
        <w:br/>
      </w:r>
      <w:r w:rsidRPr="00DA5CB8">
        <w:rPr>
          <w:lang w:val="de-DE"/>
        </w:rPr>
        <w:tab/>
      </w:r>
      <w:proofErr w:type="spellStart"/>
      <w:r w:rsidR="00C94B3B" w:rsidRPr="00DA5CB8">
        <w:rPr>
          <w:iCs/>
          <w:lang w:val="de-DE"/>
        </w:rPr>
        <w:t>Registrar</w:t>
      </w:r>
      <w:proofErr w:type="spellEnd"/>
      <w:r w:rsidRPr="00DA5CB8">
        <w:rPr>
          <w:lang w:val="de-DE"/>
        </w:rPr>
        <w:tab/>
      </w:r>
      <w:proofErr w:type="spellStart"/>
      <w:r w:rsidRPr="00DA5CB8">
        <w:rPr>
          <w:lang w:val="de-DE"/>
        </w:rPr>
        <w:t>President</w:t>
      </w:r>
      <w:proofErr w:type="spellEnd"/>
    </w:p>
    <w:p w:rsidR="00E83AD8" w:rsidRDefault="00E83AD8" w:rsidP="00DC77AA">
      <w:pPr>
        <w:pStyle w:val="JuTitle"/>
        <w:rPr>
          <w:lang w:val="de-DE"/>
        </w:rPr>
      </w:pPr>
    </w:p>
    <w:p w:rsidR="00BA3D89" w:rsidRPr="00BA3D89" w:rsidRDefault="00BA3D89" w:rsidP="00BA3D89">
      <w:pPr>
        <w:pStyle w:val="ECHRPara"/>
        <w:rPr>
          <w:lang w:val="de-DE"/>
        </w:rPr>
        <w:sectPr w:rsidR="00BA3D89" w:rsidRPr="00BA3D89" w:rsidSect="009179EF">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pPr>
    </w:p>
    <w:p w:rsidR="00DC77AA" w:rsidRPr="00841410" w:rsidRDefault="00DC77AA" w:rsidP="00DC77AA">
      <w:pPr>
        <w:pStyle w:val="JuTitle"/>
      </w:pPr>
      <w:r w:rsidRPr="00841410">
        <w:lastRenderedPageBreak/>
        <w:t>APPENDIX</w:t>
      </w:r>
    </w:p>
    <w:p w:rsidR="00DC77AA" w:rsidRDefault="00DC77AA" w:rsidP="00DC77AA">
      <w:pPr>
        <w:pStyle w:val="ECHRPara"/>
      </w:pPr>
    </w:p>
    <w:p w:rsidR="00DC77AA" w:rsidRPr="004511A3" w:rsidRDefault="00DC77AA" w:rsidP="00DC77AA">
      <w:pPr>
        <w:pStyle w:val="ECHRPara"/>
      </w:pPr>
    </w:p>
    <w:tbl>
      <w:tblPr>
        <w:tblStyle w:val="afe"/>
        <w:tblW w:w="13467" w:type="dxa"/>
        <w:tblInd w:w="-318" w:type="dxa"/>
        <w:tblLayout w:type="fixed"/>
        <w:tblLook w:val="04A0" w:firstRow="1" w:lastRow="0" w:firstColumn="1" w:lastColumn="0" w:noHBand="0" w:noVBand="1"/>
      </w:tblPr>
      <w:tblGrid>
        <w:gridCol w:w="1419"/>
        <w:gridCol w:w="1134"/>
        <w:gridCol w:w="1842"/>
        <w:gridCol w:w="1985"/>
        <w:gridCol w:w="1984"/>
        <w:gridCol w:w="5103"/>
      </w:tblGrid>
      <w:tr w:rsidR="00E83AD8" w:rsidTr="00134A95">
        <w:tc>
          <w:tcPr>
            <w:tcW w:w="1419" w:type="dxa"/>
          </w:tcPr>
          <w:p w:rsidR="00E83AD8" w:rsidRPr="00852017" w:rsidRDefault="00E83AD8" w:rsidP="00E83AD8">
            <w:pPr>
              <w:pStyle w:val="ECHRPara"/>
              <w:ind w:firstLine="0"/>
              <w:jc w:val="center"/>
              <w:rPr>
                <w:b/>
              </w:rPr>
            </w:pPr>
            <w:r>
              <w:rPr>
                <w:b/>
              </w:rPr>
              <w:t>Application</w:t>
            </w:r>
            <w:r w:rsidRPr="00852017">
              <w:rPr>
                <w:b/>
              </w:rPr>
              <w:t xml:space="preserve"> no</w:t>
            </w:r>
            <w:r>
              <w:rPr>
                <w:b/>
              </w:rPr>
              <w:t>.</w:t>
            </w:r>
          </w:p>
        </w:tc>
        <w:tc>
          <w:tcPr>
            <w:tcW w:w="1134" w:type="dxa"/>
          </w:tcPr>
          <w:p w:rsidR="00E83AD8" w:rsidRPr="00852017" w:rsidRDefault="00E83AD8" w:rsidP="00F42BB4">
            <w:pPr>
              <w:pStyle w:val="ECHRPara"/>
              <w:ind w:firstLine="0"/>
              <w:jc w:val="center"/>
              <w:rPr>
                <w:b/>
              </w:rPr>
            </w:pPr>
            <w:r>
              <w:rPr>
                <w:b/>
              </w:rPr>
              <w:t>Initials</w:t>
            </w:r>
          </w:p>
        </w:tc>
        <w:tc>
          <w:tcPr>
            <w:tcW w:w="1842" w:type="dxa"/>
          </w:tcPr>
          <w:p w:rsidR="00E83AD8" w:rsidRPr="00852017" w:rsidRDefault="00E83AD8" w:rsidP="00F42BB4">
            <w:pPr>
              <w:pStyle w:val="ECHRPara"/>
              <w:ind w:firstLine="0"/>
              <w:jc w:val="center"/>
              <w:rPr>
                <w:b/>
              </w:rPr>
            </w:pPr>
            <w:r w:rsidRPr="00852017">
              <w:rPr>
                <w:b/>
              </w:rPr>
              <w:t>Date of birth</w:t>
            </w:r>
          </w:p>
        </w:tc>
        <w:tc>
          <w:tcPr>
            <w:tcW w:w="1985" w:type="dxa"/>
          </w:tcPr>
          <w:p w:rsidR="00E83AD8" w:rsidRPr="00852017" w:rsidRDefault="00E83AD8" w:rsidP="00F42BB4">
            <w:pPr>
              <w:pStyle w:val="ECHRPara"/>
              <w:ind w:firstLine="0"/>
              <w:jc w:val="center"/>
              <w:rPr>
                <w:b/>
              </w:rPr>
            </w:pPr>
            <w:r w:rsidRPr="00852017">
              <w:rPr>
                <w:b/>
              </w:rPr>
              <w:t>Date of entry to Russia</w:t>
            </w:r>
          </w:p>
        </w:tc>
        <w:tc>
          <w:tcPr>
            <w:tcW w:w="1984" w:type="dxa"/>
          </w:tcPr>
          <w:p w:rsidR="00E83AD8" w:rsidRPr="00852017" w:rsidRDefault="00E83AD8" w:rsidP="00F42BB4">
            <w:pPr>
              <w:pStyle w:val="ECHRPara"/>
              <w:ind w:firstLine="0"/>
              <w:jc w:val="center"/>
              <w:rPr>
                <w:b/>
              </w:rPr>
            </w:pPr>
            <w:r w:rsidRPr="00852017">
              <w:rPr>
                <w:b/>
              </w:rPr>
              <w:t>Date of detention</w:t>
            </w:r>
          </w:p>
        </w:tc>
        <w:tc>
          <w:tcPr>
            <w:tcW w:w="5103" w:type="dxa"/>
          </w:tcPr>
          <w:p w:rsidR="00E83AD8" w:rsidRPr="00852017" w:rsidRDefault="00E83AD8" w:rsidP="006862C7">
            <w:pPr>
              <w:pStyle w:val="ECHRPara"/>
              <w:ind w:firstLine="0"/>
              <w:jc w:val="center"/>
              <w:rPr>
                <w:b/>
              </w:rPr>
            </w:pPr>
            <w:r w:rsidRPr="00852017">
              <w:rPr>
                <w:b/>
              </w:rPr>
              <w:t>Expulsion proceedings</w:t>
            </w:r>
          </w:p>
        </w:tc>
      </w:tr>
      <w:tr w:rsidR="00E83AD8" w:rsidTr="00134A95">
        <w:tc>
          <w:tcPr>
            <w:tcW w:w="1419" w:type="dxa"/>
          </w:tcPr>
          <w:p w:rsidR="00E83AD8" w:rsidRDefault="00E83AD8" w:rsidP="00F7005A">
            <w:pPr>
              <w:pStyle w:val="ECHRPara"/>
              <w:ind w:firstLine="0"/>
            </w:pPr>
            <w:r>
              <w:t>40081/14</w:t>
            </w:r>
          </w:p>
        </w:tc>
        <w:tc>
          <w:tcPr>
            <w:tcW w:w="1134" w:type="dxa"/>
          </w:tcPr>
          <w:p w:rsidR="00E83AD8" w:rsidRDefault="00E83AD8" w:rsidP="00F42BB4">
            <w:pPr>
              <w:pStyle w:val="ECHRPara"/>
              <w:ind w:firstLine="0"/>
            </w:pPr>
            <w:r>
              <w:t>L.M.</w:t>
            </w:r>
          </w:p>
        </w:tc>
        <w:tc>
          <w:tcPr>
            <w:tcW w:w="1842" w:type="dxa"/>
          </w:tcPr>
          <w:p w:rsidR="00E83AD8" w:rsidRDefault="00E83AD8" w:rsidP="00F42BB4">
            <w:pPr>
              <w:pStyle w:val="ECHRPara"/>
              <w:ind w:firstLine="0"/>
            </w:pPr>
            <w:r>
              <w:t>20 June 1988</w:t>
            </w:r>
          </w:p>
        </w:tc>
        <w:tc>
          <w:tcPr>
            <w:tcW w:w="1985" w:type="dxa"/>
          </w:tcPr>
          <w:p w:rsidR="00E83AD8" w:rsidRDefault="00E83AD8" w:rsidP="00F42BB4">
            <w:pPr>
              <w:pStyle w:val="ECHRPara"/>
              <w:ind w:firstLine="0"/>
            </w:pPr>
            <w:r>
              <w:t>9 February 2013</w:t>
            </w:r>
          </w:p>
        </w:tc>
        <w:tc>
          <w:tcPr>
            <w:tcW w:w="1984" w:type="dxa"/>
          </w:tcPr>
          <w:p w:rsidR="00E83AD8" w:rsidRDefault="00E83AD8" w:rsidP="00F42BB4">
            <w:pPr>
              <w:pStyle w:val="ECHRPara"/>
              <w:ind w:firstLine="0"/>
            </w:pPr>
            <w:r>
              <w:t>14 April 2014</w:t>
            </w:r>
          </w:p>
        </w:tc>
        <w:tc>
          <w:tcPr>
            <w:tcW w:w="5103" w:type="dxa"/>
          </w:tcPr>
          <w:p w:rsidR="00E83AD8" w:rsidRDefault="00E83AD8" w:rsidP="00F42BB4">
            <w:pPr>
              <w:pStyle w:val="ECHRPara"/>
              <w:ind w:firstLine="0"/>
            </w:pPr>
            <w:proofErr w:type="spellStart"/>
            <w:r>
              <w:t>Maloyaroslavets</w:t>
            </w:r>
            <w:proofErr w:type="spellEnd"/>
            <w:r>
              <w:t xml:space="preserve"> District Court on 16 April 2014; Kaluga Regional Court on 27 May 2014</w:t>
            </w:r>
          </w:p>
        </w:tc>
      </w:tr>
      <w:tr w:rsidR="00E83AD8" w:rsidTr="00134A95">
        <w:tc>
          <w:tcPr>
            <w:tcW w:w="1419" w:type="dxa"/>
          </w:tcPr>
          <w:p w:rsidR="00E83AD8" w:rsidRDefault="00E83AD8" w:rsidP="00F7005A">
            <w:pPr>
              <w:pStyle w:val="ECHRPara"/>
              <w:ind w:firstLine="0"/>
            </w:pPr>
            <w:r>
              <w:t>40088/14</w:t>
            </w:r>
          </w:p>
        </w:tc>
        <w:tc>
          <w:tcPr>
            <w:tcW w:w="1134" w:type="dxa"/>
          </w:tcPr>
          <w:p w:rsidR="00E83AD8" w:rsidRDefault="00E83AD8" w:rsidP="00F42BB4">
            <w:pPr>
              <w:pStyle w:val="ECHRPara"/>
              <w:ind w:firstLine="0"/>
            </w:pPr>
            <w:r>
              <w:t>A.A.</w:t>
            </w:r>
          </w:p>
        </w:tc>
        <w:tc>
          <w:tcPr>
            <w:tcW w:w="1842" w:type="dxa"/>
          </w:tcPr>
          <w:p w:rsidR="00E83AD8" w:rsidRDefault="00E83AD8" w:rsidP="00F42BB4">
            <w:pPr>
              <w:pStyle w:val="ECHRPara"/>
              <w:ind w:firstLine="0"/>
            </w:pPr>
            <w:r>
              <w:t>15 January 1987</w:t>
            </w:r>
          </w:p>
        </w:tc>
        <w:tc>
          <w:tcPr>
            <w:tcW w:w="1985" w:type="dxa"/>
          </w:tcPr>
          <w:p w:rsidR="00E83AD8" w:rsidRDefault="00E83AD8" w:rsidP="00F42BB4">
            <w:pPr>
              <w:pStyle w:val="ECHRPara"/>
              <w:ind w:firstLine="0"/>
            </w:pPr>
            <w:r>
              <w:t>21 April 2013</w:t>
            </w:r>
          </w:p>
        </w:tc>
        <w:tc>
          <w:tcPr>
            <w:tcW w:w="1984" w:type="dxa"/>
          </w:tcPr>
          <w:p w:rsidR="00E83AD8" w:rsidRDefault="00E83AD8" w:rsidP="00F42BB4">
            <w:pPr>
              <w:pStyle w:val="ECHRPara"/>
              <w:ind w:firstLine="0"/>
            </w:pPr>
            <w:r>
              <w:t>15 April 2014</w:t>
            </w:r>
          </w:p>
        </w:tc>
        <w:tc>
          <w:tcPr>
            <w:tcW w:w="5103" w:type="dxa"/>
          </w:tcPr>
          <w:p w:rsidR="00E83AD8" w:rsidRDefault="00E83AD8" w:rsidP="00F42BB4">
            <w:pPr>
              <w:pStyle w:val="ECHRPara"/>
              <w:ind w:firstLine="0"/>
            </w:pPr>
            <w:proofErr w:type="spellStart"/>
            <w:r>
              <w:t>Maloyaroslavets</w:t>
            </w:r>
            <w:proofErr w:type="spellEnd"/>
            <w:r>
              <w:t xml:space="preserve"> District Court on 15 April 2014; Kaluga Regional Court on 27 May 2014</w:t>
            </w:r>
          </w:p>
        </w:tc>
      </w:tr>
      <w:tr w:rsidR="00E83AD8" w:rsidTr="00134A95">
        <w:tc>
          <w:tcPr>
            <w:tcW w:w="1419" w:type="dxa"/>
          </w:tcPr>
          <w:p w:rsidR="00E83AD8" w:rsidRDefault="00E83AD8" w:rsidP="00F7005A">
            <w:pPr>
              <w:pStyle w:val="ECHRPara"/>
              <w:ind w:firstLine="0"/>
            </w:pPr>
            <w:r>
              <w:t>40127/14</w:t>
            </w:r>
          </w:p>
        </w:tc>
        <w:tc>
          <w:tcPr>
            <w:tcW w:w="1134" w:type="dxa"/>
          </w:tcPr>
          <w:p w:rsidR="00E83AD8" w:rsidRDefault="00E83AD8" w:rsidP="00F42BB4">
            <w:pPr>
              <w:pStyle w:val="ECHRPara"/>
              <w:ind w:firstLine="0"/>
            </w:pPr>
            <w:r>
              <w:t>M.A.</w:t>
            </w:r>
          </w:p>
        </w:tc>
        <w:tc>
          <w:tcPr>
            <w:tcW w:w="1842" w:type="dxa"/>
          </w:tcPr>
          <w:p w:rsidR="00E83AD8" w:rsidRDefault="00E83AD8" w:rsidP="00F42BB4">
            <w:pPr>
              <w:pStyle w:val="ECHRPara"/>
              <w:ind w:firstLine="0"/>
            </w:pPr>
            <w:r>
              <w:t>25 February 1994</w:t>
            </w:r>
          </w:p>
        </w:tc>
        <w:tc>
          <w:tcPr>
            <w:tcW w:w="1985" w:type="dxa"/>
          </w:tcPr>
          <w:p w:rsidR="00E83AD8" w:rsidRDefault="00E83AD8" w:rsidP="00F42BB4">
            <w:pPr>
              <w:pStyle w:val="ECHRPara"/>
              <w:ind w:firstLine="0"/>
            </w:pPr>
            <w:r w:rsidRPr="00474918">
              <w:t>21 April 2013</w:t>
            </w:r>
          </w:p>
        </w:tc>
        <w:tc>
          <w:tcPr>
            <w:tcW w:w="1984" w:type="dxa"/>
          </w:tcPr>
          <w:p w:rsidR="00E83AD8" w:rsidRDefault="00E83AD8" w:rsidP="00F7005A">
            <w:pPr>
              <w:pStyle w:val="ECHRPara"/>
              <w:ind w:firstLine="0"/>
            </w:pPr>
            <w:r>
              <w:t>14 April</w:t>
            </w:r>
            <w:r w:rsidR="00F7005A">
              <w:t xml:space="preserve"> </w:t>
            </w:r>
            <w:r>
              <w:t>2014</w:t>
            </w:r>
          </w:p>
        </w:tc>
        <w:tc>
          <w:tcPr>
            <w:tcW w:w="5103" w:type="dxa"/>
          </w:tcPr>
          <w:p w:rsidR="00E83AD8" w:rsidRDefault="00E83AD8" w:rsidP="00F42BB4">
            <w:pPr>
              <w:pStyle w:val="ECHRPara"/>
              <w:ind w:firstLine="0"/>
            </w:pPr>
            <w:proofErr w:type="spellStart"/>
            <w:r>
              <w:t>Maloyaroslavets</w:t>
            </w:r>
            <w:proofErr w:type="spellEnd"/>
            <w:r>
              <w:t xml:space="preserve"> District Court on 15 April 2014; Kaluga Regional Court on 27 May 2014</w:t>
            </w:r>
          </w:p>
        </w:tc>
      </w:tr>
    </w:tbl>
    <w:p w:rsidR="004D15F3" w:rsidRPr="00062973" w:rsidRDefault="004D15F3" w:rsidP="00E83AD8">
      <w:pPr>
        <w:pStyle w:val="ECHRPara"/>
      </w:pPr>
    </w:p>
    <w:sectPr w:rsidR="004D15F3" w:rsidRPr="00062973" w:rsidSect="00E83AD8">
      <w:headerReference w:type="even" r:id="rId17"/>
      <w:headerReference w:type="default" r:id="rId18"/>
      <w:footnotePr>
        <w:numRestart w:val="eachPage"/>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53" w:rsidRDefault="00023253" w:rsidP="00014566">
      <w:r>
        <w:separator/>
      </w:r>
    </w:p>
    <w:p w:rsidR="00023253" w:rsidRDefault="00023253"/>
  </w:endnote>
  <w:endnote w:type="continuationSeparator" w:id="0">
    <w:p w:rsidR="00023253" w:rsidRDefault="00023253" w:rsidP="00014566">
      <w:r>
        <w:continuationSeparator/>
      </w:r>
    </w:p>
    <w:p w:rsidR="00023253" w:rsidRDefault="00023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nionPro-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1" w:rsidRPr="00150BFA" w:rsidRDefault="00A01A51" w:rsidP="00AE268D">
    <w:pPr>
      <w:jc w:val="center"/>
    </w:pPr>
    <w:r>
      <w:rPr>
        <w:noProof/>
        <w:lang w:val="ru-RU" w:eastAsia="ru-RU"/>
      </w:rPr>
      <w:drawing>
        <wp:inline distT="0" distB="0" distL="0" distR="0" wp14:anchorId="255F35AB" wp14:editId="509A9665">
          <wp:extent cx="771525" cy="619125"/>
          <wp:effectExtent l="0" t="0" r="9525" b="9525"/>
          <wp:docPr id="57" name="Picture 5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01A51" w:rsidRDefault="00A01A5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53" w:rsidRDefault="00023253" w:rsidP="00014566">
      <w:r>
        <w:separator/>
      </w:r>
    </w:p>
    <w:p w:rsidR="00023253" w:rsidRDefault="00023253"/>
  </w:footnote>
  <w:footnote w:type="continuationSeparator" w:id="0">
    <w:p w:rsidR="00023253" w:rsidRDefault="00023253" w:rsidP="00014566">
      <w:r>
        <w:continuationSeparator/>
      </w:r>
    </w:p>
    <w:p w:rsidR="00023253" w:rsidRDefault="000232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1" w:rsidRPr="009179EF" w:rsidRDefault="00A01A51" w:rsidP="009179EF">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1" w:rsidRPr="00A45145" w:rsidRDefault="00A01A51" w:rsidP="00AE268D">
    <w:pPr>
      <w:jc w:val="center"/>
    </w:pPr>
    <w:r>
      <w:rPr>
        <w:noProof/>
        <w:lang w:val="ru-RU" w:eastAsia="ru-RU"/>
      </w:rPr>
      <w:drawing>
        <wp:inline distT="0" distB="0" distL="0" distR="0" wp14:anchorId="2443E927" wp14:editId="5C543417">
          <wp:extent cx="2962275" cy="1219200"/>
          <wp:effectExtent l="0" t="0" r="9525" b="0"/>
          <wp:docPr id="56" name="Picture 5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01A51" w:rsidRDefault="00A01A5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1" w:rsidRDefault="00A01A51" w:rsidP="00A01A51">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D466E4">
      <w:rPr>
        <w:rStyle w:val="aff1"/>
        <w:noProof/>
        <w:szCs w:val="18"/>
      </w:rPr>
      <w:t>2</w:t>
    </w:r>
    <w:r>
      <w:rPr>
        <w:rStyle w:val="aff1"/>
        <w:szCs w:val="18"/>
      </w:rPr>
      <w:fldChar w:fldCharType="end"/>
    </w:r>
    <w:r>
      <w:tab/>
      <w:t>L.M. AND OTHERS v. RUSSIA</w:t>
    </w:r>
    <w:r w:rsidRPr="00FF2306">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1" w:rsidRDefault="00A01A51" w:rsidP="00A01A51">
    <w:pPr>
      <w:pStyle w:val="ECHRHeader"/>
    </w:pPr>
    <w:r w:rsidRPr="00D60D87">
      <w:tab/>
    </w:r>
    <w:r>
      <w:t>L.M. AND OTHERS v. RUSSIA</w:t>
    </w:r>
    <w:r w:rsidRPr="00D60D87">
      <w:t xml:space="preserve"> </w:t>
    </w:r>
    <w:r>
      <w:t>JUDGMENT</w:t>
    </w:r>
    <w:r w:rsidRPr="00D60D87">
      <w:tab/>
    </w:r>
    <w:r>
      <w:rPr>
        <w:rStyle w:val="aff1"/>
        <w:szCs w:val="18"/>
      </w:rPr>
      <w:fldChar w:fldCharType="begin"/>
    </w:r>
    <w:r>
      <w:rPr>
        <w:rStyle w:val="aff1"/>
        <w:szCs w:val="18"/>
      </w:rPr>
      <w:instrText xml:space="preserve"> PAGE </w:instrText>
    </w:r>
    <w:r>
      <w:rPr>
        <w:rStyle w:val="aff1"/>
        <w:szCs w:val="18"/>
      </w:rPr>
      <w:fldChar w:fldCharType="separate"/>
    </w:r>
    <w:r w:rsidR="00D466E4">
      <w:rPr>
        <w:rStyle w:val="aff1"/>
        <w:noProof/>
        <w:szCs w:val="18"/>
      </w:rPr>
      <w:t>1</w:t>
    </w:r>
    <w:r>
      <w:rPr>
        <w:rStyle w:val="aff1"/>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1" w:rsidRPr="00FF2306" w:rsidRDefault="00A01A51"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D466E4">
      <w:rPr>
        <w:rStyle w:val="aff1"/>
        <w:noProof/>
        <w:szCs w:val="18"/>
      </w:rPr>
      <w:t>44</w:t>
    </w:r>
    <w:r>
      <w:rPr>
        <w:rStyle w:val="aff1"/>
        <w:szCs w:val="18"/>
      </w:rPr>
      <w:fldChar w:fldCharType="end"/>
    </w:r>
    <w:r w:rsidRPr="00FF2306">
      <w:tab/>
    </w:r>
    <w:r>
      <w:tab/>
      <w:t>L.M. AND OTHERS v. RUSSIA</w:t>
    </w:r>
    <w:r w:rsidRPr="00FF2306">
      <w:t xml:space="preserve"> </w:t>
    </w:r>
    <w:r>
      <w:t>JUDGMENT</w:t>
    </w:r>
  </w:p>
  <w:p w:rsidR="00A01A51" w:rsidRDefault="00A01A5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1" w:rsidRPr="00D60D87" w:rsidRDefault="00A01A51" w:rsidP="00D60D87">
    <w:pPr>
      <w:pStyle w:val="ECHRHeader"/>
    </w:pPr>
    <w:r w:rsidRPr="00D60D87">
      <w:tab/>
    </w:r>
    <w:r>
      <w:tab/>
      <w:t>L.M. AND OTHERS v. RUSSIA</w:t>
    </w:r>
    <w:r w:rsidRPr="00D60D87">
      <w:t xml:space="preserve"> </w:t>
    </w:r>
    <w:r>
      <w:t>JUDGMENT</w:t>
    </w:r>
    <w:r>
      <w:tab/>
    </w:r>
    <w:r>
      <w:tab/>
    </w:r>
    <w:r>
      <w:tab/>
    </w:r>
    <w:r>
      <w:tab/>
    </w:r>
    <w:r>
      <w:tab/>
    </w:r>
    <w:r w:rsidRPr="00D60D87">
      <w:tab/>
    </w:r>
    <w:r>
      <w:rPr>
        <w:rStyle w:val="aff1"/>
        <w:szCs w:val="18"/>
      </w:rPr>
      <w:fldChar w:fldCharType="begin"/>
    </w:r>
    <w:r>
      <w:rPr>
        <w:rStyle w:val="aff1"/>
        <w:szCs w:val="18"/>
      </w:rPr>
      <w:instrText xml:space="preserve"> PAGE </w:instrText>
    </w:r>
    <w:r>
      <w:rPr>
        <w:rStyle w:val="aff1"/>
        <w:szCs w:val="18"/>
      </w:rPr>
      <w:fldChar w:fldCharType="separate"/>
    </w:r>
    <w:r w:rsidR="00BA3D89">
      <w:rPr>
        <w:rStyle w:val="aff1"/>
        <w:noProof/>
        <w:szCs w:val="18"/>
      </w:rPr>
      <w:t>45</w:t>
    </w:r>
    <w:r>
      <w:rPr>
        <w:rStyle w:val="aff1"/>
        <w:szCs w:val="18"/>
      </w:rPr>
      <w:fldChar w:fldCharType="end"/>
    </w:r>
  </w:p>
  <w:p w:rsidR="00A01A51" w:rsidRDefault="00A01A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6396BD6"/>
    <w:multiLevelType w:val="hybridMultilevel"/>
    <w:tmpl w:val="9AD2E3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F7039A"/>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92F51A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737461D"/>
    <w:multiLevelType w:val="multilevel"/>
    <w:tmpl w:val="040C0023"/>
    <w:styleLink w:val="a1"/>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lvlText w:val="%5)"/>
      <w:lvlJc w:val="left"/>
      <w:pPr>
        <w:ind w:left="1008" w:hanging="432"/>
      </w:pPr>
    </w:lvl>
    <w:lvl w:ilvl="5">
      <w:start w:val="1"/>
      <w:numFmt w:val="lowerLetter"/>
      <w:pStyle w:val="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EA72C9E"/>
    <w:multiLevelType w:val="hybridMultilevel"/>
    <w:tmpl w:val="ED6CE784"/>
    <w:lvl w:ilvl="0" w:tplc="2682933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4"/>
  </w:num>
  <w:num w:numId="7">
    <w:abstractNumId w:val="12"/>
  </w:num>
  <w:num w:numId="8">
    <w:abstractNumId w:val="15"/>
  </w:num>
  <w:num w:numId="9">
    <w:abstractNumId w:val="11"/>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0"/>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C94B3B"/>
    <w:rsid w:val="000041F8"/>
    <w:rsid w:val="000042A8"/>
    <w:rsid w:val="00004308"/>
    <w:rsid w:val="00005BF0"/>
    <w:rsid w:val="00007154"/>
    <w:rsid w:val="000103AE"/>
    <w:rsid w:val="00011D69"/>
    <w:rsid w:val="00012AD3"/>
    <w:rsid w:val="0001315A"/>
    <w:rsid w:val="00014566"/>
    <w:rsid w:val="00015C2D"/>
    <w:rsid w:val="00015F00"/>
    <w:rsid w:val="00022C1D"/>
    <w:rsid w:val="00023253"/>
    <w:rsid w:val="0002548B"/>
    <w:rsid w:val="0002555D"/>
    <w:rsid w:val="0002749F"/>
    <w:rsid w:val="0003145D"/>
    <w:rsid w:val="0003278C"/>
    <w:rsid w:val="000341A9"/>
    <w:rsid w:val="00034987"/>
    <w:rsid w:val="00037E76"/>
    <w:rsid w:val="0004129E"/>
    <w:rsid w:val="00047C92"/>
    <w:rsid w:val="000509E1"/>
    <w:rsid w:val="00050C86"/>
    <w:rsid w:val="00057C2E"/>
    <w:rsid w:val="000602DF"/>
    <w:rsid w:val="00061B05"/>
    <w:rsid w:val="00062973"/>
    <w:rsid w:val="00062D5D"/>
    <w:rsid w:val="000632D5"/>
    <w:rsid w:val="000644EE"/>
    <w:rsid w:val="000656D0"/>
    <w:rsid w:val="00067956"/>
    <w:rsid w:val="00076013"/>
    <w:rsid w:val="00076645"/>
    <w:rsid w:val="00080ABB"/>
    <w:rsid w:val="000871E4"/>
    <w:rsid w:val="00087583"/>
    <w:rsid w:val="00087EE0"/>
    <w:rsid w:val="00091388"/>
    <w:rsid w:val="000925AD"/>
    <w:rsid w:val="00093BE7"/>
    <w:rsid w:val="00094EE1"/>
    <w:rsid w:val="0009610B"/>
    <w:rsid w:val="0009792A"/>
    <w:rsid w:val="000A00BE"/>
    <w:rsid w:val="000A00BF"/>
    <w:rsid w:val="000A0A2B"/>
    <w:rsid w:val="000A0B0F"/>
    <w:rsid w:val="000A14F6"/>
    <w:rsid w:val="000A24EB"/>
    <w:rsid w:val="000A555E"/>
    <w:rsid w:val="000A57ED"/>
    <w:rsid w:val="000B0266"/>
    <w:rsid w:val="000B6777"/>
    <w:rsid w:val="000B6923"/>
    <w:rsid w:val="000C033C"/>
    <w:rsid w:val="000C1D0F"/>
    <w:rsid w:val="000C41A5"/>
    <w:rsid w:val="000C47ED"/>
    <w:rsid w:val="000C5F3C"/>
    <w:rsid w:val="000C6DCC"/>
    <w:rsid w:val="000D47AA"/>
    <w:rsid w:val="000D721F"/>
    <w:rsid w:val="000E0508"/>
    <w:rsid w:val="000E069B"/>
    <w:rsid w:val="000E0E82"/>
    <w:rsid w:val="000E1DC5"/>
    <w:rsid w:val="000E223F"/>
    <w:rsid w:val="000E2852"/>
    <w:rsid w:val="000E3C0E"/>
    <w:rsid w:val="000E5BE5"/>
    <w:rsid w:val="000E7B2C"/>
    <w:rsid w:val="000E7D45"/>
    <w:rsid w:val="000F5790"/>
    <w:rsid w:val="000F7851"/>
    <w:rsid w:val="00104E23"/>
    <w:rsid w:val="00106ABE"/>
    <w:rsid w:val="00111B0C"/>
    <w:rsid w:val="001129BD"/>
    <w:rsid w:val="00113C2B"/>
    <w:rsid w:val="00117413"/>
    <w:rsid w:val="00117715"/>
    <w:rsid w:val="00120D6C"/>
    <w:rsid w:val="001242A2"/>
    <w:rsid w:val="001247C6"/>
    <w:rsid w:val="001257EC"/>
    <w:rsid w:val="0012722A"/>
    <w:rsid w:val="00132673"/>
    <w:rsid w:val="00132C6A"/>
    <w:rsid w:val="00133D33"/>
    <w:rsid w:val="00134A95"/>
    <w:rsid w:val="00134D64"/>
    <w:rsid w:val="00135A30"/>
    <w:rsid w:val="0013612C"/>
    <w:rsid w:val="00137FF6"/>
    <w:rsid w:val="00141650"/>
    <w:rsid w:val="001434A6"/>
    <w:rsid w:val="001436E5"/>
    <w:rsid w:val="00146A56"/>
    <w:rsid w:val="001478C2"/>
    <w:rsid w:val="001563A0"/>
    <w:rsid w:val="00157420"/>
    <w:rsid w:val="001574CC"/>
    <w:rsid w:val="00162A12"/>
    <w:rsid w:val="00163077"/>
    <w:rsid w:val="00166442"/>
    <w:rsid w:val="00166530"/>
    <w:rsid w:val="001760AD"/>
    <w:rsid w:val="001766CD"/>
    <w:rsid w:val="00181CE5"/>
    <w:rsid w:val="001832BD"/>
    <w:rsid w:val="00185137"/>
    <w:rsid w:val="001855E0"/>
    <w:rsid w:val="00193071"/>
    <w:rsid w:val="001936EE"/>
    <w:rsid w:val="001943B5"/>
    <w:rsid w:val="00195134"/>
    <w:rsid w:val="00196199"/>
    <w:rsid w:val="001961D1"/>
    <w:rsid w:val="001A145B"/>
    <w:rsid w:val="001A28D9"/>
    <w:rsid w:val="001A39D7"/>
    <w:rsid w:val="001A674C"/>
    <w:rsid w:val="001A7F28"/>
    <w:rsid w:val="001B0DAD"/>
    <w:rsid w:val="001B1D87"/>
    <w:rsid w:val="001B2848"/>
    <w:rsid w:val="001B2A68"/>
    <w:rsid w:val="001B3B24"/>
    <w:rsid w:val="001C0F98"/>
    <w:rsid w:val="001C1697"/>
    <w:rsid w:val="001C17D3"/>
    <w:rsid w:val="001C2419"/>
    <w:rsid w:val="001C2A42"/>
    <w:rsid w:val="001D0355"/>
    <w:rsid w:val="001D0EA3"/>
    <w:rsid w:val="001D63ED"/>
    <w:rsid w:val="001D6A84"/>
    <w:rsid w:val="001D7348"/>
    <w:rsid w:val="001E035B"/>
    <w:rsid w:val="001E0961"/>
    <w:rsid w:val="001E0D00"/>
    <w:rsid w:val="001E1D71"/>
    <w:rsid w:val="001E356A"/>
    <w:rsid w:val="001E3EAE"/>
    <w:rsid w:val="001E4678"/>
    <w:rsid w:val="001E6C22"/>
    <w:rsid w:val="001E6F32"/>
    <w:rsid w:val="001F06F5"/>
    <w:rsid w:val="001F2145"/>
    <w:rsid w:val="001F6262"/>
    <w:rsid w:val="001F67B0"/>
    <w:rsid w:val="001F745F"/>
    <w:rsid w:val="001F7B3D"/>
    <w:rsid w:val="00201AA6"/>
    <w:rsid w:val="00205446"/>
    <w:rsid w:val="00205F9F"/>
    <w:rsid w:val="00206C19"/>
    <w:rsid w:val="002079E1"/>
    <w:rsid w:val="00210338"/>
    <w:rsid w:val="002115FC"/>
    <w:rsid w:val="002133F8"/>
    <w:rsid w:val="0021423C"/>
    <w:rsid w:val="002159CD"/>
    <w:rsid w:val="002169CC"/>
    <w:rsid w:val="00216D53"/>
    <w:rsid w:val="0022234B"/>
    <w:rsid w:val="00225F9D"/>
    <w:rsid w:val="002304B9"/>
    <w:rsid w:val="00230D00"/>
    <w:rsid w:val="00231DF7"/>
    <w:rsid w:val="00231FD1"/>
    <w:rsid w:val="0023250A"/>
    <w:rsid w:val="002339E0"/>
    <w:rsid w:val="00233CF8"/>
    <w:rsid w:val="0023575D"/>
    <w:rsid w:val="00237148"/>
    <w:rsid w:val="0024222D"/>
    <w:rsid w:val="00243396"/>
    <w:rsid w:val="00244B0E"/>
    <w:rsid w:val="00244F6C"/>
    <w:rsid w:val="00246585"/>
    <w:rsid w:val="002532C5"/>
    <w:rsid w:val="002545CF"/>
    <w:rsid w:val="00254B1F"/>
    <w:rsid w:val="00254C02"/>
    <w:rsid w:val="0025664D"/>
    <w:rsid w:val="002567FA"/>
    <w:rsid w:val="00260C03"/>
    <w:rsid w:val="00260C36"/>
    <w:rsid w:val="00261204"/>
    <w:rsid w:val="00264675"/>
    <w:rsid w:val="0026540E"/>
    <w:rsid w:val="002704B1"/>
    <w:rsid w:val="00271D7D"/>
    <w:rsid w:val="00273C44"/>
    <w:rsid w:val="00274A83"/>
    <w:rsid w:val="00275123"/>
    <w:rsid w:val="00275A36"/>
    <w:rsid w:val="002774BD"/>
    <w:rsid w:val="00282240"/>
    <w:rsid w:val="0028248F"/>
    <w:rsid w:val="0028385F"/>
    <w:rsid w:val="0028572A"/>
    <w:rsid w:val="002948AD"/>
    <w:rsid w:val="00294C92"/>
    <w:rsid w:val="00295977"/>
    <w:rsid w:val="0029675F"/>
    <w:rsid w:val="002A01CC"/>
    <w:rsid w:val="002A1D84"/>
    <w:rsid w:val="002A2E2A"/>
    <w:rsid w:val="002A61B1"/>
    <w:rsid w:val="002A663C"/>
    <w:rsid w:val="002A7242"/>
    <w:rsid w:val="002A7832"/>
    <w:rsid w:val="002B3198"/>
    <w:rsid w:val="002B4087"/>
    <w:rsid w:val="002B444B"/>
    <w:rsid w:val="002B5887"/>
    <w:rsid w:val="002B6BC7"/>
    <w:rsid w:val="002C0692"/>
    <w:rsid w:val="002C0E27"/>
    <w:rsid w:val="002C2630"/>
    <w:rsid w:val="002C3040"/>
    <w:rsid w:val="002C61A8"/>
    <w:rsid w:val="002D022D"/>
    <w:rsid w:val="002D0E19"/>
    <w:rsid w:val="002D24BB"/>
    <w:rsid w:val="002D2768"/>
    <w:rsid w:val="002E3BCF"/>
    <w:rsid w:val="002E4672"/>
    <w:rsid w:val="002E63E2"/>
    <w:rsid w:val="002E776F"/>
    <w:rsid w:val="002E7DC9"/>
    <w:rsid w:val="002F2AF7"/>
    <w:rsid w:val="002F3277"/>
    <w:rsid w:val="002F7666"/>
    <w:rsid w:val="002F7E1C"/>
    <w:rsid w:val="00301A75"/>
    <w:rsid w:val="00301FA7"/>
    <w:rsid w:val="00302F70"/>
    <w:rsid w:val="0030336F"/>
    <w:rsid w:val="0030375E"/>
    <w:rsid w:val="00303F31"/>
    <w:rsid w:val="0030543C"/>
    <w:rsid w:val="00307C29"/>
    <w:rsid w:val="0031161B"/>
    <w:rsid w:val="00312A30"/>
    <w:rsid w:val="00313675"/>
    <w:rsid w:val="00320F72"/>
    <w:rsid w:val="003232C9"/>
    <w:rsid w:val="00323EC8"/>
    <w:rsid w:val="0032463E"/>
    <w:rsid w:val="003247C6"/>
    <w:rsid w:val="00326224"/>
    <w:rsid w:val="00327938"/>
    <w:rsid w:val="00337EE4"/>
    <w:rsid w:val="003407AB"/>
    <w:rsid w:val="00340BD7"/>
    <w:rsid w:val="00340FFD"/>
    <w:rsid w:val="00343430"/>
    <w:rsid w:val="00344D0F"/>
    <w:rsid w:val="00350024"/>
    <w:rsid w:val="0035037B"/>
    <w:rsid w:val="003506B1"/>
    <w:rsid w:val="00352B21"/>
    <w:rsid w:val="00353755"/>
    <w:rsid w:val="00354BC2"/>
    <w:rsid w:val="00356AC7"/>
    <w:rsid w:val="0036051D"/>
    <w:rsid w:val="003609FA"/>
    <w:rsid w:val="00360AF0"/>
    <w:rsid w:val="0036183C"/>
    <w:rsid w:val="003633B7"/>
    <w:rsid w:val="003704F6"/>
    <w:rsid w:val="003710C8"/>
    <w:rsid w:val="003750BE"/>
    <w:rsid w:val="003765BB"/>
    <w:rsid w:val="003773FF"/>
    <w:rsid w:val="0037752A"/>
    <w:rsid w:val="00380F78"/>
    <w:rsid w:val="00381D52"/>
    <w:rsid w:val="00384355"/>
    <w:rsid w:val="003860E5"/>
    <w:rsid w:val="00387B9D"/>
    <w:rsid w:val="00387F54"/>
    <w:rsid w:val="003905B9"/>
    <w:rsid w:val="00391C1B"/>
    <w:rsid w:val="00392503"/>
    <w:rsid w:val="0039364F"/>
    <w:rsid w:val="003941D5"/>
    <w:rsid w:val="0039543E"/>
    <w:rsid w:val="00396686"/>
    <w:rsid w:val="0039778E"/>
    <w:rsid w:val="00397ACC"/>
    <w:rsid w:val="003A055F"/>
    <w:rsid w:val="003A0B51"/>
    <w:rsid w:val="003A4FE9"/>
    <w:rsid w:val="003B0316"/>
    <w:rsid w:val="003B2E29"/>
    <w:rsid w:val="003B39F4"/>
    <w:rsid w:val="003B4941"/>
    <w:rsid w:val="003C1523"/>
    <w:rsid w:val="003C17FE"/>
    <w:rsid w:val="003C2940"/>
    <w:rsid w:val="003C5714"/>
    <w:rsid w:val="003C6AD6"/>
    <w:rsid w:val="003C6B9F"/>
    <w:rsid w:val="003C6E2A"/>
    <w:rsid w:val="003C78B9"/>
    <w:rsid w:val="003D01E2"/>
    <w:rsid w:val="003D0299"/>
    <w:rsid w:val="003D78C8"/>
    <w:rsid w:val="003E6D80"/>
    <w:rsid w:val="003E7233"/>
    <w:rsid w:val="003E77B3"/>
    <w:rsid w:val="003F05FA"/>
    <w:rsid w:val="003F244A"/>
    <w:rsid w:val="003F30B8"/>
    <w:rsid w:val="003F4C45"/>
    <w:rsid w:val="003F540F"/>
    <w:rsid w:val="003F5F7B"/>
    <w:rsid w:val="003F63FF"/>
    <w:rsid w:val="003F6F86"/>
    <w:rsid w:val="003F7D64"/>
    <w:rsid w:val="00401698"/>
    <w:rsid w:val="00404E60"/>
    <w:rsid w:val="004077F3"/>
    <w:rsid w:val="00407CA1"/>
    <w:rsid w:val="00414300"/>
    <w:rsid w:val="004202F0"/>
    <w:rsid w:val="00425C67"/>
    <w:rsid w:val="00427E7A"/>
    <w:rsid w:val="00431AB6"/>
    <w:rsid w:val="00436307"/>
    <w:rsid w:val="00436C49"/>
    <w:rsid w:val="0044182B"/>
    <w:rsid w:val="00442CD7"/>
    <w:rsid w:val="00445366"/>
    <w:rsid w:val="00447F24"/>
    <w:rsid w:val="00447F5B"/>
    <w:rsid w:val="004531E2"/>
    <w:rsid w:val="00461DB0"/>
    <w:rsid w:val="00463926"/>
    <w:rsid w:val="004646E0"/>
    <w:rsid w:val="00464C9A"/>
    <w:rsid w:val="0046757D"/>
    <w:rsid w:val="00470C79"/>
    <w:rsid w:val="00474F3D"/>
    <w:rsid w:val="004751B6"/>
    <w:rsid w:val="00477E3A"/>
    <w:rsid w:val="00483E5F"/>
    <w:rsid w:val="00483F41"/>
    <w:rsid w:val="00484279"/>
    <w:rsid w:val="00485FF9"/>
    <w:rsid w:val="004907F0"/>
    <w:rsid w:val="0049140B"/>
    <w:rsid w:val="004923A5"/>
    <w:rsid w:val="004932B8"/>
    <w:rsid w:val="00496BFB"/>
    <w:rsid w:val="004979EF"/>
    <w:rsid w:val="004A15C7"/>
    <w:rsid w:val="004A3F2A"/>
    <w:rsid w:val="004A67B9"/>
    <w:rsid w:val="004B013B"/>
    <w:rsid w:val="004B112B"/>
    <w:rsid w:val="004B248F"/>
    <w:rsid w:val="004B4951"/>
    <w:rsid w:val="004C01E4"/>
    <w:rsid w:val="004C086C"/>
    <w:rsid w:val="004C1789"/>
    <w:rsid w:val="004C1AD7"/>
    <w:rsid w:val="004C1F56"/>
    <w:rsid w:val="004C2283"/>
    <w:rsid w:val="004C27BC"/>
    <w:rsid w:val="004C590F"/>
    <w:rsid w:val="004C7014"/>
    <w:rsid w:val="004D15F3"/>
    <w:rsid w:val="004D511D"/>
    <w:rsid w:val="004D5311"/>
    <w:rsid w:val="004D5DCC"/>
    <w:rsid w:val="004E0BA3"/>
    <w:rsid w:val="004F10AF"/>
    <w:rsid w:val="004F11A4"/>
    <w:rsid w:val="004F2389"/>
    <w:rsid w:val="004F304D"/>
    <w:rsid w:val="004F4DA0"/>
    <w:rsid w:val="004F556D"/>
    <w:rsid w:val="004F61BE"/>
    <w:rsid w:val="004F6663"/>
    <w:rsid w:val="004F66B1"/>
    <w:rsid w:val="0050383C"/>
    <w:rsid w:val="00504B72"/>
    <w:rsid w:val="00511C07"/>
    <w:rsid w:val="00515E83"/>
    <w:rsid w:val="005173A6"/>
    <w:rsid w:val="00517C12"/>
    <w:rsid w:val="00520B10"/>
    <w:rsid w:val="00520BAA"/>
    <w:rsid w:val="00521445"/>
    <w:rsid w:val="00525208"/>
    <w:rsid w:val="005257A5"/>
    <w:rsid w:val="005264C0"/>
    <w:rsid w:val="00526A8A"/>
    <w:rsid w:val="00531DF2"/>
    <w:rsid w:val="00535E8A"/>
    <w:rsid w:val="0054036F"/>
    <w:rsid w:val="00541419"/>
    <w:rsid w:val="00541AF6"/>
    <w:rsid w:val="00543049"/>
    <w:rsid w:val="005442EE"/>
    <w:rsid w:val="005455F4"/>
    <w:rsid w:val="005459F1"/>
    <w:rsid w:val="00547353"/>
    <w:rsid w:val="005474E7"/>
    <w:rsid w:val="00550EAF"/>
    <w:rsid w:val="005512A3"/>
    <w:rsid w:val="0055281C"/>
    <w:rsid w:val="00552A2D"/>
    <w:rsid w:val="00552E86"/>
    <w:rsid w:val="005543B6"/>
    <w:rsid w:val="005551A3"/>
    <w:rsid w:val="00555672"/>
    <w:rsid w:val="005578CE"/>
    <w:rsid w:val="005607D0"/>
    <w:rsid w:val="00561E97"/>
    <w:rsid w:val="00562781"/>
    <w:rsid w:val="00563E83"/>
    <w:rsid w:val="0056477C"/>
    <w:rsid w:val="0056580D"/>
    <w:rsid w:val="0057271C"/>
    <w:rsid w:val="00572845"/>
    <w:rsid w:val="00576E2F"/>
    <w:rsid w:val="00577AFA"/>
    <w:rsid w:val="005832A7"/>
    <w:rsid w:val="00584D28"/>
    <w:rsid w:val="00586520"/>
    <w:rsid w:val="00586D48"/>
    <w:rsid w:val="00592772"/>
    <w:rsid w:val="0059574A"/>
    <w:rsid w:val="00596242"/>
    <w:rsid w:val="005A0097"/>
    <w:rsid w:val="005A08C4"/>
    <w:rsid w:val="005A0C0F"/>
    <w:rsid w:val="005A1B9B"/>
    <w:rsid w:val="005A548E"/>
    <w:rsid w:val="005A6751"/>
    <w:rsid w:val="005B0091"/>
    <w:rsid w:val="005B092E"/>
    <w:rsid w:val="005B152C"/>
    <w:rsid w:val="005B1EE0"/>
    <w:rsid w:val="005B2B24"/>
    <w:rsid w:val="005B4425"/>
    <w:rsid w:val="005B4B94"/>
    <w:rsid w:val="005B6F67"/>
    <w:rsid w:val="005B7819"/>
    <w:rsid w:val="005C3EE8"/>
    <w:rsid w:val="005C61C4"/>
    <w:rsid w:val="005C6CA0"/>
    <w:rsid w:val="005D0F59"/>
    <w:rsid w:val="005D2B0C"/>
    <w:rsid w:val="005D2CEC"/>
    <w:rsid w:val="005D34F9"/>
    <w:rsid w:val="005D4190"/>
    <w:rsid w:val="005D67A3"/>
    <w:rsid w:val="005E26A1"/>
    <w:rsid w:val="005E2988"/>
    <w:rsid w:val="005E2A43"/>
    <w:rsid w:val="005E3085"/>
    <w:rsid w:val="005E3AF5"/>
    <w:rsid w:val="005F2C85"/>
    <w:rsid w:val="005F51E1"/>
    <w:rsid w:val="005F5FE1"/>
    <w:rsid w:val="00607203"/>
    <w:rsid w:val="006075F6"/>
    <w:rsid w:val="00611A21"/>
    <w:rsid w:val="00611C80"/>
    <w:rsid w:val="0062068A"/>
    <w:rsid w:val="00620692"/>
    <w:rsid w:val="00620830"/>
    <w:rsid w:val="00620D41"/>
    <w:rsid w:val="00621655"/>
    <w:rsid w:val="006242CA"/>
    <w:rsid w:val="00625D44"/>
    <w:rsid w:val="006261D9"/>
    <w:rsid w:val="00627507"/>
    <w:rsid w:val="00627A40"/>
    <w:rsid w:val="00632462"/>
    <w:rsid w:val="00632C7C"/>
    <w:rsid w:val="00633717"/>
    <w:rsid w:val="006344E1"/>
    <w:rsid w:val="00640789"/>
    <w:rsid w:val="00643B56"/>
    <w:rsid w:val="006528D7"/>
    <w:rsid w:val="00653A80"/>
    <w:rsid w:val="006545C4"/>
    <w:rsid w:val="0065661A"/>
    <w:rsid w:val="00661554"/>
    <w:rsid w:val="00661971"/>
    <w:rsid w:val="00661CE8"/>
    <w:rsid w:val="006623D9"/>
    <w:rsid w:val="0066285E"/>
    <w:rsid w:val="00663742"/>
    <w:rsid w:val="0066550C"/>
    <w:rsid w:val="006716F2"/>
    <w:rsid w:val="00675813"/>
    <w:rsid w:val="00676A87"/>
    <w:rsid w:val="00680978"/>
    <w:rsid w:val="00682B36"/>
    <w:rsid w:val="00682BF2"/>
    <w:rsid w:val="006859CE"/>
    <w:rsid w:val="006862C7"/>
    <w:rsid w:val="00686BE5"/>
    <w:rsid w:val="00687145"/>
    <w:rsid w:val="00690792"/>
    <w:rsid w:val="00691270"/>
    <w:rsid w:val="00694762"/>
    <w:rsid w:val="00694BA8"/>
    <w:rsid w:val="0069708D"/>
    <w:rsid w:val="006A037C"/>
    <w:rsid w:val="006A36F4"/>
    <w:rsid w:val="006A406F"/>
    <w:rsid w:val="006A540C"/>
    <w:rsid w:val="006A5D3A"/>
    <w:rsid w:val="006B307C"/>
    <w:rsid w:val="006B6A7F"/>
    <w:rsid w:val="006B6C59"/>
    <w:rsid w:val="006C165E"/>
    <w:rsid w:val="006C1B1A"/>
    <w:rsid w:val="006C23D4"/>
    <w:rsid w:val="006C2AE4"/>
    <w:rsid w:val="006C3922"/>
    <w:rsid w:val="006C7BB0"/>
    <w:rsid w:val="006D3108"/>
    <w:rsid w:val="006D3237"/>
    <w:rsid w:val="006D49AB"/>
    <w:rsid w:val="006D723C"/>
    <w:rsid w:val="006E2E37"/>
    <w:rsid w:val="006E3CF1"/>
    <w:rsid w:val="006E7E80"/>
    <w:rsid w:val="006F0510"/>
    <w:rsid w:val="006F1DF9"/>
    <w:rsid w:val="006F24DB"/>
    <w:rsid w:val="006F48CA"/>
    <w:rsid w:val="006F64DD"/>
    <w:rsid w:val="006F76B3"/>
    <w:rsid w:val="00703788"/>
    <w:rsid w:val="00714B0F"/>
    <w:rsid w:val="00715127"/>
    <w:rsid w:val="00715C2B"/>
    <w:rsid w:val="00715E8E"/>
    <w:rsid w:val="0071734C"/>
    <w:rsid w:val="00717DAB"/>
    <w:rsid w:val="00723580"/>
    <w:rsid w:val="00723755"/>
    <w:rsid w:val="00723D8A"/>
    <w:rsid w:val="0073136C"/>
    <w:rsid w:val="00731F0F"/>
    <w:rsid w:val="00733250"/>
    <w:rsid w:val="00736600"/>
    <w:rsid w:val="00741167"/>
    <w:rsid w:val="00741404"/>
    <w:rsid w:val="007449E5"/>
    <w:rsid w:val="007466B5"/>
    <w:rsid w:val="00746C5A"/>
    <w:rsid w:val="00747357"/>
    <w:rsid w:val="00747FF0"/>
    <w:rsid w:val="00751F40"/>
    <w:rsid w:val="007573A2"/>
    <w:rsid w:val="007617DE"/>
    <w:rsid w:val="00761951"/>
    <w:rsid w:val="00763712"/>
    <w:rsid w:val="00763C7D"/>
    <w:rsid w:val="00764D4E"/>
    <w:rsid w:val="00765A1F"/>
    <w:rsid w:val="007726BF"/>
    <w:rsid w:val="00775B6D"/>
    <w:rsid w:val="00776D68"/>
    <w:rsid w:val="007850EE"/>
    <w:rsid w:val="00785B95"/>
    <w:rsid w:val="00790E96"/>
    <w:rsid w:val="00793366"/>
    <w:rsid w:val="007A116E"/>
    <w:rsid w:val="007A716F"/>
    <w:rsid w:val="007B05A7"/>
    <w:rsid w:val="007B270A"/>
    <w:rsid w:val="007B2F37"/>
    <w:rsid w:val="007C0695"/>
    <w:rsid w:val="007C38E8"/>
    <w:rsid w:val="007C419A"/>
    <w:rsid w:val="007C4CC8"/>
    <w:rsid w:val="007C5426"/>
    <w:rsid w:val="007C5798"/>
    <w:rsid w:val="007D3A4C"/>
    <w:rsid w:val="007D4832"/>
    <w:rsid w:val="007E1797"/>
    <w:rsid w:val="007E21B2"/>
    <w:rsid w:val="007E2C4E"/>
    <w:rsid w:val="007E7033"/>
    <w:rsid w:val="007F1905"/>
    <w:rsid w:val="00801300"/>
    <w:rsid w:val="00802C64"/>
    <w:rsid w:val="00805E52"/>
    <w:rsid w:val="008061D0"/>
    <w:rsid w:val="00806544"/>
    <w:rsid w:val="00807B20"/>
    <w:rsid w:val="00810B38"/>
    <w:rsid w:val="0081159E"/>
    <w:rsid w:val="00811D46"/>
    <w:rsid w:val="00813853"/>
    <w:rsid w:val="00815628"/>
    <w:rsid w:val="00815D42"/>
    <w:rsid w:val="0081708E"/>
    <w:rsid w:val="008204C7"/>
    <w:rsid w:val="00820992"/>
    <w:rsid w:val="00822A03"/>
    <w:rsid w:val="00823470"/>
    <w:rsid w:val="00823602"/>
    <w:rsid w:val="00825002"/>
    <w:rsid w:val="008255F5"/>
    <w:rsid w:val="0083014E"/>
    <w:rsid w:val="0083214A"/>
    <w:rsid w:val="00834220"/>
    <w:rsid w:val="00840A31"/>
    <w:rsid w:val="008411D0"/>
    <w:rsid w:val="00843BC3"/>
    <w:rsid w:val="00845723"/>
    <w:rsid w:val="00845CDD"/>
    <w:rsid w:val="00846B2B"/>
    <w:rsid w:val="00851EF9"/>
    <w:rsid w:val="00853DD4"/>
    <w:rsid w:val="008577FD"/>
    <w:rsid w:val="00860B03"/>
    <w:rsid w:val="00863AC1"/>
    <w:rsid w:val="0086497A"/>
    <w:rsid w:val="00866E3A"/>
    <w:rsid w:val="008713A1"/>
    <w:rsid w:val="00872A11"/>
    <w:rsid w:val="00874165"/>
    <w:rsid w:val="008754AB"/>
    <w:rsid w:val="0088060C"/>
    <w:rsid w:val="00882941"/>
    <w:rsid w:val="00884936"/>
    <w:rsid w:val="00893576"/>
    <w:rsid w:val="00893E73"/>
    <w:rsid w:val="008946AD"/>
    <w:rsid w:val="008A0690"/>
    <w:rsid w:val="008A43C4"/>
    <w:rsid w:val="008A509C"/>
    <w:rsid w:val="008A543E"/>
    <w:rsid w:val="008A7596"/>
    <w:rsid w:val="008B02DC"/>
    <w:rsid w:val="008B1436"/>
    <w:rsid w:val="008B3CFB"/>
    <w:rsid w:val="008B4AF6"/>
    <w:rsid w:val="008B4B9E"/>
    <w:rsid w:val="008B57CE"/>
    <w:rsid w:val="008B62C7"/>
    <w:rsid w:val="008B659F"/>
    <w:rsid w:val="008C0D2B"/>
    <w:rsid w:val="008C26DE"/>
    <w:rsid w:val="008C31DD"/>
    <w:rsid w:val="008C3272"/>
    <w:rsid w:val="008D1367"/>
    <w:rsid w:val="008D2225"/>
    <w:rsid w:val="008D4752"/>
    <w:rsid w:val="008E271C"/>
    <w:rsid w:val="008E2CCB"/>
    <w:rsid w:val="008E418E"/>
    <w:rsid w:val="008E5BC6"/>
    <w:rsid w:val="008E6A25"/>
    <w:rsid w:val="008F4629"/>
    <w:rsid w:val="008F467F"/>
    <w:rsid w:val="008F5193"/>
    <w:rsid w:val="008F65AB"/>
    <w:rsid w:val="008F6BAA"/>
    <w:rsid w:val="009013A7"/>
    <w:rsid w:val="009017FB"/>
    <w:rsid w:val="009017FC"/>
    <w:rsid w:val="00903B43"/>
    <w:rsid w:val="0090506B"/>
    <w:rsid w:val="009050C9"/>
    <w:rsid w:val="009066FC"/>
    <w:rsid w:val="009140A3"/>
    <w:rsid w:val="009144A2"/>
    <w:rsid w:val="0091510C"/>
    <w:rsid w:val="00915D90"/>
    <w:rsid w:val="00916133"/>
    <w:rsid w:val="009174D8"/>
    <w:rsid w:val="009179EF"/>
    <w:rsid w:val="00922515"/>
    <w:rsid w:val="00923999"/>
    <w:rsid w:val="009259AC"/>
    <w:rsid w:val="00926F38"/>
    <w:rsid w:val="009308A8"/>
    <w:rsid w:val="00934301"/>
    <w:rsid w:val="00936CD1"/>
    <w:rsid w:val="00941747"/>
    <w:rsid w:val="00941943"/>
    <w:rsid w:val="00941EFB"/>
    <w:rsid w:val="00943B86"/>
    <w:rsid w:val="00944728"/>
    <w:rsid w:val="0094505E"/>
    <w:rsid w:val="00946985"/>
    <w:rsid w:val="00947AFB"/>
    <w:rsid w:val="00950ABC"/>
    <w:rsid w:val="00951D7D"/>
    <w:rsid w:val="009521D3"/>
    <w:rsid w:val="00955A77"/>
    <w:rsid w:val="00955CA4"/>
    <w:rsid w:val="009624DA"/>
    <w:rsid w:val="009630C7"/>
    <w:rsid w:val="00963554"/>
    <w:rsid w:val="009652FD"/>
    <w:rsid w:val="00965E4D"/>
    <w:rsid w:val="00966C34"/>
    <w:rsid w:val="00967860"/>
    <w:rsid w:val="00970715"/>
    <w:rsid w:val="00971891"/>
    <w:rsid w:val="00972B55"/>
    <w:rsid w:val="009734C2"/>
    <w:rsid w:val="009743B7"/>
    <w:rsid w:val="0097441D"/>
    <w:rsid w:val="00977089"/>
    <w:rsid w:val="0098228B"/>
    <w:rsid w:val="009828DA"/>
    <w:rsid w:val="00985BAB"/>
    <w:rsid w:val="00986709"/>
    <w:rsid w:val="009902C7"/>
    <w:rsid w:val="00992DF3"/>
    <w:rsid w:val="0099513C"/>
    <w:rsid w:val="00997F03"/>
    <w:rsid w:val="009A35D9"/>
    <w:rsid w:val="009A46DF"/>
    <w:rsid w:val="009A484C"/>
    <w:rsid w:val="009A4D42"/>
    <w:rsid w:val="009B1B5F"/>
    <w:rsid w:val="009B2855"/>
    <w:rsid w:val="009B2EC2"/>
    <w:rsid w:val="009B5404"/>
    <w:rsid w:val="009B6673"/>
    <w:rsid w:val="009C191B"/>
    <w:rsid w:val="009C2BD6"/>
    <w:rsid w:val="009C4730"/>
    <w:rsid w:val="009C509A"/>
    <w:rsid w:val="009D188F"/>
    <w:rsid w:val="009D1DDC"/>
    <w:rsid w:val="009D750F"/>
    <w:rsid w:val="009E0381"/>
    <w:rsid w:val="009E1BDD"/>
    <w:rsid w:val="009E1F32"/>
    <w:rsid w:val="009E3748"/>
    <w:rsid w:val="009E5829"/>
    <w:rsid w:val="009E6587"/>
    <w:rsid w:val="009E67D0"/>
    <w:rsid w:val="009E776C"/>
    <w:rsid w:val="009F434C"/>
    <w:rsid w:val="00A01A51"/>
    <w:rsid w:val="00A06AC8"/>
    <w:rsid w:val="00A116A7"/>
    <w:rsid w:val="00A119C2"/>
    <w:rsid w:val="00A13FB5"/>
    <w:rsid w:val="00A15AC3"/>
    <w:rsid w:val="00A1726E"/>
    <w:rsid w:val="00A17F08"/>
    <w:rsid w:val="00A204B2"/>
    <w:rsid w:val="00A204CF"/>
    <w:rsid w:val="00A21D48"/>
    <w:rsid w:val="00A23D49"/>
    <w:rsid w:val="00A27004"/>
    <w:rsid w:val="00A30C29"/>
    <w:rsid w:val="00A31EE9"/>
    <w:rsid w:val="00A34DD6"/>
    <w:rsid w:val="00A35CA9"/>
    <w:rsid w:val="00A36819"/>
    <w:rsid w:val="00A36989"/>
    <w:rsid w:val="00A37CB8"/>
    <w:rsid w:val="00A4075B"/>
    <w:rsid w:val="00A410BD"/>
    <w:rsid w:val="00A43628"/>
    <w:rsid w:val="00A44010"/>
    <w:rsid w:val="00A501A0"/>
    <w:rsid w:val="00A50F89"/>
    <w:rsid w:val="00A54192"/>
    <w:rsid w:val="00A57A03"/>
    <w:rsid w:val="00A60170"/>
    <w:rsid w:val="00A6035E"/>
    <w:rsid w:val="00A6144C"/>
    <w:rsid w:val="00A62B67"/>
    <w:rsid w:val="00A63D03"/>
    <w:rsid w:val="00A64EDB"/>
    <w:rsid w:val="00A66294"/>
    <w:rsid w:val="00A66617"/>
    <w:rsid w:val="00A671F8"/>
    <w:rsid w:val="00A673A4"/>
    <w:rsid w:val="00A70366"/>
    <w:rsid w:val="00A724AE"/>
    <w:rsid w:val="00A73329"/>
    <w:rsid w:val="00A75EBC"/>
    <w:rsid w:val="00A76031"/>
    <w:rsid w:val="00A80851"/>
    <w:rsid w:val="00A82359"/>
    <w:rsid w:val="00A84762"/>
    <w:rsid w:val="00A84DE9"/>
    <w:rsid w:val="00A85A19"/>
    <w:rsid w:val="00A865D2"/>
    <w:rsid w:val="00A92E59"/>
    <w:rsid w:val="00A94C20"/>
    <w:rsid w:val="00AA0908"/>
    <w:rsid w:val="00AA227F"/>
    <w:rsid w:val="00AA2B72"/>
    <w:rsid w:val="00AA3BC7"/>
    <w:rsid w:val="00AA4352"/>
    <w:rsid w:val="00AA4846"/>
    <w:rsid w:val="00AA754A"/>
    <w:rsid w:val="00AA7D1D"/>
    <w:rsid w:val="00AB099E"/>
    <w:rsid w:val="00AB4328"/>
    <w:rsid w:val="00AB5FA0"/>
    <w:rsid w:val="00AB6117"/>
    <w:rsid w:val="00AC182A"/>
    <w:rsid w:val="00AD0351"/>
    <w:rsid w:val="00AD0562"/>
    <w:rsid w:val="00AD06D9"/>
    <w:rsid w:val="00AE0A2E"/>
    <w:rsid w:val="00AE268D"/>
    <w:rsid w:val="00AE354C"/>
    <w:rsid w:val="00AE4A81"/>
    <w:rsid w:val="00AE5A88"/>
    <w:rsid w:val="00AE64C4"/>
    <w:rsid w:val="00AF1D5D"/>
    <w:rsid w:val="00AF4B07"/>
    <w:rsid w:val="00AF6186"/>
    <w:rsid w:val="00AF6DAA"/>
    <w:rsid w:val="00AF7A3A"/>
    <w:rsid w:val="00B01DCA"/>
    <w:rsid w:val="00B14FAF"/>
    <w:rsid w:val="00B15E17"/>
    <w:rsid w:val="00B160DB"/>
    <w:rsid w:val="00B20836"/>
    <w:rsid w:val="00B212DA"/>
    <w:rsid w:val="00B235BB"/>
    <w:rsid w:val="00B2597F"/>
    <w:rsid w:val="00B26355"/>
    <w:rsid w:val="00B27A44"/>
    <w:rsid w:val="00B30413"/>
    <w:rsid w:val="00B30BBF"/>
    <w:rsid w:val="00B33C03"/>
    <w:rsid w:val="00B36F3E"/>
    <w:rsid w:val="00B43F18"/>
    <w:rsid w:val="00B4454C"/>
    <w:rsid w:val="00B44E56"/>
    <w:rsid w:val="00B46543"/>
    <w:rsid w:val="00B47D33"/>
    <w:rsid w:val="00B52BE0"/>
    <w:rsid w:val="00B54133"/>
    <w:rsid w:val="00B54A72"/>
    <w:rsid w:val="00B55DEE"/>
    <w:rsid w:val="00B60D92"/>
    <w:rsid w:val="00B64390"/>
    <w:rsid w:val="00B67550"/>
    <w:rsid w:val="00B67C67"/>
    <w:rsid w:val="00B701ED"/>
    <w:rsid w:val="00B715E9"/>
    <w:rsid w:val="00B77240"/>
    <w:rsid w:val="00B8086C"/>
    <w:rsid w:val="00B84717"/>
    <w:rsid w:val="00B861B4"/>
    <w:rsid w:val="00B86DFE"/>
    <w:rsid w:val="00B90990"/>
    <w:rsid w:val="00B922FF"/>
    <w:rsid w:val="00B9280E"/>
    <w:rsid w:val="00B9281E"/>
    <w:rsid w:val="00B93925"/>
    <w:rsid w:val="00B95187"/>
    <w:rsid w:val="00B95958"/>
    <w:rsid w:val="00BA07C3"/>
    <w:rsid w:val="00BA2D55"/>
    <w:rsid w:val="00BA34A9"/>
    <w:rsid w:val="00BA3D89"/>
    <w:rsid w:val="00BA6E52"/>
    <w:rsid w:val="00BA71B1"/>
    <w:rsid w:val="00BA787E"/>
    <w:rsid w:val="00BB0637"/>
    <w:rsid w:val="00BB20C3"/>
    <w:rsid w:val="00BB345F"/>
    <w:rsid w:val="00BB5883"/>
    <w:rsid w:val="00BB68EA"/>
    <w:rsid w:val="00BC1C27"/>
    <w:rsid w:val="00BC37D6"/>
    <w:rsid w:val="00BC3B19"/>
    <w:rsid w:val="00BC6BBF"/>
    <w:rsid w:val="00BD1572"/>
    <w:rsid w:val="00BD2CED"/>
    <w:rsid w:val="00BD344F"/>
    <w:rsid w:val="00BD6B6B"/>
    <w:rsid w:val="00BE14E3"/>
    <w:rsid w:val="00BE3774"/>
    <w:rsid w:val="00BE41E5"/>
    <w:rsid w:val="00BE5C4D"/>
    <w:rsid w:val="00BE66A6"/>
    <w:rsid w:val="00BF01E1"/>
    <w:rsid w:val="00BF0BBB"/>
    <w:rsid w:val="00BF10CB"/>
    <w:rsid w:val="00BF4109"/>
    <w:rsid w:val="00BF4CC3"/>
    <w:rsid w:val="00BF4D78"/>
    <w:rsid w:val="00BF5445"/>
    <w:rsid w:val="00BF6155"/>
    <w:rsid w:val="00C03D17"/>
    <w:rsid w:val="00C054C7"/>
    <w:rsid w:val="00C057B5"/>
    <w:rsid w:val="00C062BD"/>
    <w:rsid w:val="00C069BF"/>
    <w:rsid w:val="00C22687"/>
    <w:rsid w:val="00C23A8C"/>
    <w:rsid w:val="00C253F0"/>
    <w:rsid w:val="00C30798"/>
    <w:rsid w:val="00C32E4D"/>
    <w:rsid w:val="00C333A0"/>
    <w:rsid w:val="00C33D4D"/>
    <w:rsid w:val="00C36A81"/>
    <w:rsid w:val="00C36D85"/>
    <w:rsid w:val="00C41974"/>
    <w:rsid w:val="00C447AD"/>
    <w:rsid w:val="00C458DB"/>
    <w:rsid w:val="00C46CF2"/>
    <w:rsid w:val="00C478E3"/>
    <w:rsid w:val="00C53F4A"/>
    <w:rsid w:val="00C54125"/>
    <w:rsid w:val="00C546CA"/>
    <w:rsid w:val="00C55B54"/>
    <w:rsid w:val="00C55CE6"/>
    <w:rsid w:val="00C57510"/>
    <w:rsid w:val="00C57B18"/>
    <w:rsid w:val="00C6098E"/>
    <w:rsid w:val="00C60EE8"/>
    <w:rsid w:val="00C6152C"/>
    <w:rsid w:val="00C621C2"/>
    <w:rsid w:val="00C64321"/>
    <w:rsid w:val="00C663CD"/>
    <w:rsid w:val="00C74230"/>
    <w:rsid w:val="00C74810"/>
    <w:rsid w:val="00C75E74"/>
    <w:rsid w:val="00C81169"/>
    <w:rsid w:val="00C8266B"/>
    <w:rsid w:val="00C84A8D"/>
    <w:rsid w:val="00C85FC2"/>
    <w:rsid w:val="00C90D68"/>
    <w:rsid w:val="00C92856"/>
    <w:rsid w:val="00C92AB4"/>
    <w:rsid w:val="00C939FE"/>
    <w:rsid w:val="00C94B3B"/>
    <w:rsid w:val="00CA4BDA"/>
    <w:rsid w:val="00CB1F66"/>
    <w:rsid w:val="00CB2951"/>
    <w:rsid w:val="00CB5FAE"/>
    <w:rsid w:val="00CC2203"/>
    <w:rsid w:val="00CC32A6"/>
    <w:rsid w:val="00CD282B"/>
    <w:rsid w:val="00CD4C35"/>
    <w:rsid w:val="00CD5DD1"/>
    <w:rsid w:val="00CD7369"/>
    <w:rsid w:val="00CD76CB"/>
    <w:rsid w:val="00CE06B7"/>
    <w:rsid w:val="00CE0B0E"/>
    <w:rsid w:val="00CE217D"/>
    <w:rsid w:val="00CE3831"/>
    <w:rsid w:val="00CE4174"/>
    <w:rsid w:val="00CF3927"/>
    <w:rsid w:val="00D00614"/>
    <w:rsid w:val="00D00AAB"/>
    <w:rsid w:val="00D00ABB"/>
    <w:rsid w:val="00D02EEC"/>
    <w:rsid w:val="00D03551"/>
    <w:rsid w:val="00D06436"/>
    <w:rsid w:val="00D06A63"/>
    <w:rsid w:val="00D07E0E"/>
    <w:rsid w:val="00D11478"/>
    <w:rsid w:val="00D123FE"/>
    <w:rsid w:val="00D15ED0"/>
    <w:rsid w:val="00D21AD2"/>
    <w:rsid w:val="00D21B3E"/>
    <w:rsid w:val="00D21FED"/>
    <w:rsid w:val="00D24251"/>
    <w:rsid w:val="00D25C2F"/>
    <w:rsid w:val="00D318F8"/>
    <w:rsid w:val="00D343E2"/>
    <w:rsid w:val="00D361A2"/>
    <w:rsid w:val="00D37A4D"/>
    <w:rsid w:val="00D41FFD"/>
    <w:rsid w:val="00D44C2E"/>
    <w:rsid w:val="00D45414"/>
    <w:rsid w:val="00D462EF"/>
    <w:rsid w:val="00D466E4"/>
    <w:rsid w:val="00D46F90"/>
    <w:rsid w:val="00D5084F"/>
    <w:rsid w:val="00D5296A"/>
    <w:rsid w:val="00D53C0F"/>
    <w:rsid w:val="00D5412A"/>
    <w:rsid w:val="00D5610E"/>
    <w:rsid w:val="00D566BD"/>
    <w:rsid w:val="00D57A4D"/>
    <w:rsid w:val="00D60AA7"/>
    <w:rsid w:val="00D60D87"/>
    <w:rsid w:val="00D6435F"/>
    <w:rsid w:val="00D64E07"/>
    <w:rsid w:val="00D66448"/>
    <w:rsid w:val="00D66FB5"/>
    <w:rsid w:val="00D67EC1"/>
    <w:rsid w:val="00D71C06"/>
    <w:rsid w:val="00D75E28"/>
    <w:rsid w:val="00D772C2"/>
    <w:rsid w:val="00D8008E"/>
    <w:rsid w:val="00D81DC9"/>
    <w:rsid w:val="00D82C45"/>
    <w:rsid w:val="00D84930"/>
    <w:rsid w:val="00D908A8"/>
    <w:rsid w:val="00D90CB0"/>
    <w:rsid w:val="00D91D34"/>
    <w:rsid w:val="00D9362F"/>
    <w:rsid w:val="00D966C7"/>
    <w:rsid w:val="00D96912"/>
    <w:rsid w:val="00D977B6"/>
    <w:rsid w:val="00DA0B45"/>
    <w:rsid w:val="00DA4A31"/>
    <w:rsid w:val="00DA5CB8"/>
    <w:rsid w:val="00DA7B04"/>
    <w:rsid w:val="00DB01C6"/>
    <w:rsid w:val="00DB15AD"/>
    <w:rsid w:val="00DB36C2"/>
    <w:rsid w:val="00DB4612"/>
    <w:rsid w:val="00DB6366"/>
    <w:rsid w:val="00DB7196"/>
    <w:rsid w:val="00DC169B"/>
    <w:rsid w:val="00DC2AB9"/>
    <w:rsid w:val="00DC63F0"/>
    <w:rsid w:val="00DC77AA"/>
    <w:rsid w:val="00DD6EE5"/>
    <w:rsid w:val="00DE386C"/>
    <w:rsid w:val="00DE4D35"/>
    <w:rsid w:val="00DE77B9"/>
    <w:rsid w:val="00DF0549"/>
    <w:rsid w:val="00DF098B"/>
    <w:rsid w:val="00DF11C4"/>
    <w:rsid w:val="00DF1F85"/>
    <w:rsid w:val="00DF210C"/>
    <w:rsid w:val="00DF24E7"/>
    <w:rsid w:val="00DF4B6A"/>
    <w:rsid w:val="00E00FA3"/>
    <w:rsid w:val="00E02C09"/>
    <w:rsid w:val="00E038B6"/>
    <w:rsid w:val="00E03C5A"/>
    <w:rsid w:val="00E04D59"/>
    <w:rsid w:val="00E07DA1"/>
    <w:rsid w:val="00E07FB0"/>
    <w:rsid w:val="00E123CB"/>
    <w:rsid w:val="00E14CF0"/>
    <w:rsid w:val="00E1557C"/>
    <w:rsid w:val="00E17DF1"/>
    <w:rsid w:val="00E20E13"/>
    <w:rsid w:val="00E21D64"/>
    <w:rsid w:val="00E21DBC"/>
    <w:rsid w:val="00E23F32"/>
    <w:rsid w:val="00E244F4"/>
    <w:rsid w:val="00E245C3"/>
    <w:rsid w:val="00E2537E"/>
    <w:rsid w:val="00E272E9"/>
    <w:rsid w:val="00E275D7"/>
    <w:rsid w:val="00E27DBE"/>
    <w:rsid w:val="00E32AB1"/>
    <w:rsid w:val="00E33C6B"/>
    <w:rsid w:val="00E36C71"/>
    <w:rsid w:val="00E40404"/>
    <w:rsid w:val="00E4277C"/>
    <w:rsid w:val="00E42AD1"/>
    <w:rsid w:val="00E459C6"/>
    <w:rsid w:val="00E45A39"/>
    <w:rsid w:val="00E47589"/>
    <w:rsid w:val="00E51723"/>
    <w:rsid w:val="00E555DB"/>
    <w:rsid w:val="00E64915"/>
    <w:rsid w:val="00E661D4"/>
    <w:rsid w:val="00E70091"/>
    <w:rsid w:val="00E71ACB"/>
    <w:rsid w:val="00E720F5"/>
    <w:rsid w:val="00E72243"/>
    <w:rsid w:val="00E73D18"/>
    <w:rsid w:val="00E76BE1"/>
    <w:rsid w:val="00E76D47"/>
    <w:rsid w:val="00E77934"/>
    <w:rsid w:val="00E81341"/>
    <w:rsid w:val="00E81496"/>
    <w:rsid w:val="00E828BF"/>
    <w:rsid w:val="00E83AD8"/>
    <w:rsid w:val="00E849F7"/>
    <w:rsid w:val="00E85634"/>
    <w:rsid w:val="00E87D5A"/>
    <w:rsid w:val="00E90302"/>
    <w:rsid w:val="00E935C7"/>
    <w:rsid w:val="00E95775"/>
    <w:rsid w:val="00E9597F"/>
    <w:rsid w:val="00E97396"/>
    <w:rsid w:val="00EA185E"/>
    <w:rsid w:val="00EA592A"/>
    <w:rsid w:val="00EA5A28"/>
    <w:rsid w:val="00EB12D1"/>
    <w:rsid w:val="00EB14E4"/>
    <w:rsid w:val="00EB2F4B"/>
    <w:rsid w:val="00EB32A5"/>
    <w:rsid w:val="00EB34ED"/>
    <w:rsid w:val="00EB38CC"/>
    <w:rsid w:val="00EB43DF"/>
    <w:rsid w:val="00EB45BF"/>
    <w:rsid w:val="00EB7BE0"/>
    <w:rsid w:val="00EC2BBE"/>
    <w:rsid w:val="00EC315E"/>
    <w:rsid w:val="00ED077C"/>
    <w:rsid w:val="00ED1190"/>
    <w:rsid w:val="00ED224B"/>
    <w:rsid w:val="00ED27F6"/>
    <w:rsid w:val="00ED6544"/>
    <w:rsid w:val="00EE0277"/>
    <w:rsid w:val="00EE1DA9"/>
    <w:rsid w:val="00EE299D"/>
    <w:rsid w:val="00EE3D09"/>
    <w:rsid w:val="00EE3E00"/>
    <w:rsid w:val="00EE53A3"/>
    <w:rsid w:val="00EE5DD2"/>
    <w:rsid w:val="00EE7BA8"/>
    <w:rsid w:val="00EE7D72"/>
    <w:rsid w:val="00EF01F7"/>
    <w:rsid w:val="00EF1273"/>
    <w:rsid w:val="00EF35C7"/>
    <w:rsid w:val="00EF3A57"/>
    <w:rsid w:val="00EF3ECC"/>
    <w:rsid w:val="00EF41F1"/>
    <w:rsid w:val="00EF4F08"/>
    <w:rsid w:val="00EF710D"/>
    <w:rsid w:val="00F00A79"/>
    <w:rsid w:val="00F00E86"/>
    <w:rsid w:val="00F04B53"/>
    <w:rsid w:val="00F06AC9"/>
    <w:rsid w:val="00F07C1E"/>
    <w:rsid w:val="00F105DB"/>
    <w:rsid w:val="00F132BC"/>
    <w:rsid w:val="00F13BCC"/>
    <w:rsid w:val="00F13D80"/>
    <w:rsid w:val="00F16AAA"/>
    <w:rsid w:val="00F21161"/>
    <w:rsid w:val="00F218EF"/>
    <w:rsid w:val="00F21BC7"/>
    <w:rsid w:val="00F266A2"/>
    <w:rsid w:val="00F31D64"/>
    <w:rsid w:val="00F32269"/>
    <w:rsid w:val="00F34C8B"/>
    <w:rsid w:val="00F40313"/>
    <w:rsid w:val="00F42BB4"/>
    <w:rsid w:val="00F43E21"/>
    <w:rsid w:val="00F50453"/>
    <w:rsid w:val="00F5494D"/>
    <w:rsid w:val="00F56A6F"/>
    <w:rsid w:val="00F5709C"/>
    <w:rsid w:val="00F571C1"/>
    <w:rsid w:val="00F60153"/>
    <w:rsid w:val="00F61EE7"/>
    <w:rsid w:val="00F62FF9"/>
    <w:rsid w:val="00F64EF1"/>
    <w:rsid w:val="00F67E04"/>
    <w:rsid w:val="00F7005A"/>
    <w:rsid w:val="00F73960"/>
    <w:rsid w:val="00F75277"/>
    <w:rsid w:val="00F76FCF"/>
    <w:rsid w:val="00F82085"/>
    <w:rsid w:val="00F86F1B"/>
    <w:rsid w:val="00F8765F"/>
    <w:rsid w:val="00F902F7"/>
    <w:rsid w:val="00F90767"/>
    <w:rsid w:val="00F90ACE"/>
    <w:rsid w:val="00F97119"/>
    <w:rsid w:val="00FA3CF6"/>
    <w:rsid w:val="00FA4B9A"/>
    <w:rsid w:val="00FA685B"/>
    <w:rsid w:val="00FA70D4"/>
    <w:rsid w:val="00FB0037"/>
    <w:rsid w:val="00FB042D"/>
    <w:rsid w:val="00FB0C01"/>
    <w:rsid w:val="00FB3632"/>
    <w:rsid w:val="00FB7A22"/>
    <w:rsid w:val="00FC18F2"/>
    <w:rsid w:val="00FC39E5"/>
    <w:rsid w:val="00FC3A78"/>
    <w:rsid w:val="00FC546F"/>
    <w:rsid w:val="00FC5FFE"/>
    <w:rsid w:val="00FD0E54"/>
    <w:rsid w:val="00FD1005"/>
    <w:rsid w:val="00FD3180"/>
    <w:rsid w:val="00FD6C75"/>
    <w:rsid w:val="00FE71B3"/>
    <w:rsid w:val="00FF0CB1"/>
    <w:rsid w:val="00FF27B2"/>
    <w:rsid w:val="00FF2F5E"/>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AE268D"/>
    <w:pPr>
      <w:jc w:val="both"/>
    </w:pPr>
    <w:rPr>
      <w:rFonts w:eastAsiaTheme="minorEastAsia"/>
      <w:sz w:val="24"/>
      <w:lang w:val="en-GB"/>
    </w:rPr>
  </w:style>
  <w:style w:type="paragraph" w:styleId="1">
    <w:name w:val="heading 1"/>
    <w:basedOn w:val="a2"/>
    <w:next w:val="a2"/>
    <w:link w:val="10"/>
    <w:uiPriority w:val="99"/>
    <w:semiHidden/>
    <w:rsid w:val="00941747"/>
    <w:pPr>
      <w:numPr>
        <w:numId w:val="11"/>
      </w:numPr>
      <w:spacing w:before="480"/>
      <w:contextualSpacing/>
      <w:jc w:val="left"/>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941747"/>
    <w:pPr>
      <w:numPr>
        <w:ilvl w:val="1"/>
        <w:numId w:val="11"/>
      </w:numPr>
      <w:spacing w:before="200"/>
      <w:jc w:val="left"/>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941747"/>
    <w:pPr>
      <w:numPr>
        <w:ilvl w:val="2"/>
        <w:numId w:val="11"/>
      </w:numPr>
      <w:spacing w:before="200" w:line="271" w:lineRule="auto"/>
      <w:jc w:val="left"/>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941747"/>
    <w:pPr>
      <w:numPr>
        <w:ilvl w:val="3"/>
        <w:numId w:val="11"/>
      </w:numPr>
      <w:spacing w:before="200"/>
      <w:jc w:val="left"/>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01456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941747"/>
    <w:pPr>
      <w:numPr>
        <w:ilvl w:val="5"/>
        <w:numId w:val="11"/>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014566"/>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014566"/>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014566"/>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41747"/>
    <w:rPr>
      <w:rFonts w:ascii="Tahoma" w:hAnsi="Tahoma" w:cs="Tahoma"/>
      <w:sz w:val="16"/>
      <w:szCs w:val="16"/>
    </w:rPr>
  </w:style>
  <w:style w:type="character" w:customStyle="1" w:styleId="a7">
    <w:name w:val="Текст выноски Знак"/>
    <w:basedOn w:val="a3"/>
    <w:link w:val="a6"/>
    <w:uiPriority w:val="99"/>
    <w:semiHidden/>
    <w:rsid w:val="00A671F8"/>
    <w:rPr>
      <w:rFonts w:ascii="Tahoma" w:eastAsiaTheme="minorEastAsia" w:hAnsi="Tahoma" w:cs="Tahoma"/>
      <w:sz w:val="16"/>
      <w:szCs w:val="16"/>
    </w:rPr>
  </w:style>
  <w:style w:type="character" w:styleId="a8">
    <w:name w:val="Book Title"/>
    <w:uiPriority w:val="99"/>
    <w:semiHidden/>
    <w:qFormat/>
    <w:rsid w:val="00014566"/>
    <w:rPr>
      <w:i/>
      <w:iCs/>
      <w:smallCaps/>
      <w:spacing w:val="5"/>
    </w:rPr>
  </w:style>
  <w:style w:type="paragraph" w:customStyle="1" w:styleId="ECHRHeader">
    <w:name w:val="ECHR_Header"/>
    <w:aliases w:val="Ju_Header"/>
    <w:basedOn w:val="a9"/>
    <w:uiPriority w:val="4"/>
    <w:qFormat/>
    <w:rsid w:val="00014566"/>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a2"/>
    <w:uiPriority w:val="46"/>
    <w:qFormat/>
    <w:rsid w:val="00C621C2"/>
    <w:pPr>
      <w:ind w:firstLine="284"/>
    </w:pPr>
  </w:style>
  <w:style w:type="character" w:styleId="aa">
    <w:name w:val="Strong"/>
    <w:uiPriority w:val="99"/>
    <w:semiHidden/>
    <w:qFormat/>
    <w:rsid w:val="00014566"/>
    <w:rPr>
      <w:b/>
      <w:bCs/>
    </w:rPr>
  </w:style>
  <w:style w:type="paragraph" w:styleId="ab">
    <w:name w:val="No Spacing"/>
    <w:basedOn w:val="a2"/>
    <w:link w:val="ac"/>
    <w:semiHidden/>
    <w:qFormat/>
    <w:rsid w:val="00014566"/>
    <w:rPr>
      <w:sz w:val="22"/>
    </w:rPr>
  </w:style>
  <w:style w:type="character" w:customStyle="1" w:styleId="ac">
    <w:name w:val="Без интервала Знак"/>
    <w:basedOn w:val="a3"/>
    <w:link w:val="ab"/>
    <w:semiHidden/>
    <w:rsid w:val="00014566"/>
    <w:rPr>
      <w:rFonts w:eastAsiaTheme="minorEastAsia"/>
    </w:rPr>
  </w:style>
  <w:style w:type="paragraph" w:customStyle="1" w:styleId="JuParaSub">
    <w:name w:val="Ju_Para_Sub"/>
    <w:basedOn w:val="a2"/>
    <w:uiPriority w:val="13"/>
    <w:qFormat/>
    <w:rsid w:val="00C621C2"/>
    <w:pPr>
      <w:ind w:left="284" w:firstLine="284"/>
    </w:pPr>
  </w:style>
  <w:style w:type="paragraph" w:customStyle="1" w:styleId="OpiParaSub">
    <w:name w:val="Opi_Para_Sub"/>
    <w:basedOn w:val="JuParaSub"/>
    <w:uiPriority w:val="47"/>
    <w:qFormat/>
    <w:rsid w:val="00014566"/>
  </w:style>
  <w:style w:type="paragraph" w:customStyle="1" w:styleId="OpiQuot">
    <w:name w:val="Opi_Quot"/>
    <w:basedOn w:val="ECHRParaQuote"/>
    <w:uiPriority w:val="48"/>
    <w:qFormat/>
    <w:rsid w:val="00014566"/>
  </w:style>
  <w:style w:type="paragraph" w:customStyle="1" w:styleId="OpiQuotSub">
    <w:name w:val="Opi_Quot_Sub"/>
    <w:basedOn w:val="JuQuotSub"/>
    <w:uiPriority w:val="49"/>
    <w:qFormat/>
    <w:rsid w:val="00014566"/>
  </w:style>
  <w:style w:type="paragraph" w:customStyle="1" w:styleId="ECHRTitleCentre3">
    <w:name w:val="ECHR_Title_Centre_3"/>
    <w:aliases w:val="Ju_H_Article"/>
    <w:basedOn w:val="a2"/>
    <w:next w:val="ECHRParaQuote"/>
    <w:uiPriority w:val="27"/>
    <w:qFormat/>
    <w:rsid w:val="0001456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014566"/>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14566"/>
    <w:pPr>
      <w:ind w:left="567"/>
    </w:pPr>
  </w:style>
  <w:style w:type="paragraph" w:customStyle="1" w:styleId="JuInitialled">
    <w:name w:val="Ju_Initialled"/>
    <w:basedOn w:val="a2"/>
    <w:uiPriority w:val="31"/>
    <w:qFormat/>
    <w:rsid w:val="00014566"/>
    <w:pPr>
      <w:tabs>
        <w:tab w:val="center" w:pos="6407"/>
      </w:tabs>
      <w:spacing w:before="720"/>
      <w:jc w:val="right"/>
    </w:pPr>
  </w:style>
  <w:style w:type="paragraph" w:customStyle="1" w:styleId="OpiHA">
    <w:name w:val="Opi_H_A"/>
    <w:basedOn w:val="ECHRHeading1"/>
    <w:next w:val="OpiPara"/>
    <w:uiPriority w:val="41"/>
    <w:qFormat/>
    <w:rsid w:val="00014566"/>
    <w:pPr>
      <w:outlineLvl w:val="1"/>
    </w:pPr>
    <w:rPr>
      <w:bCs w:val="0"/>
    </w:rPr>
  </w:style>
  <w:style w:type="character" w:customStyle="1" w:styleId="JUNAMES">
    <w:name w:val="JU_NAMES"/>
    <w:uiPriority w:val="17"/>
    <w:qFormat/>
    <w:rsid w:val="00014566"/>
    <w:rPr>
      <w:caps w:val="0"/>
      <w:smallCaps/>
    </w:rPr>
  </w:style>
  <w:style w:type="paragraph" w:customStyle="1" w:styleId="OpiTranslation">
    <w:name w:val="Opi_Translation"/>
    <w:basedOn w:val="a2"/>
    <w:next w:val="OpiPara"/>
    <w:uiPriority w:val="40"/>
    <w:qFormat/>
    <w:rsid w:val="00014566"/>
    <w:pPr>
      <w:jc w:val="center"/>
      <w:outlineLvl w:val="0"/>
    </w:pPr>
    <w:rPr>
      <w:i/>
    </w:rPr>
  </w:style>
  <w:style w:type="paragraph" w:styleId="ad">
    <w:name w:val="Title"/>
    <w:basedOn w:val="a2"/>
    <w:next w:val="a2"/>
    <w:link w:val="ae"/>
    <w:uiPriority w:val="99"/>
    <w:semiHidden/>
    <w:qFormat/>
    <w:rsid w:val="0001456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9"/>
    <w:semiHidden/>
    <w:rsid w:val="0001456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a2"/>
    <w:uiPriority w:val="21"/>
    <w:qFormat/>
    <w:rsid w:val="00014566"/>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41"/>
    <w:next w:val="a2"/>
    <w:uiPriority w:val="22"/>
    <w:qFormat/>
    <w:rsid w:val="00014566"/>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51"/>
    <w:next w:val="a2"/>
    <w:uiPriority w:val="23"/>
    <w:qFormat/>
    <w:rsid w:val="0001456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a2"/>
    <w:uiPriority w:val="24"/>
    <w:qFormat/>
    <w:rsid w:val="00014566"/>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7"/>
    <w:next w:val="a2"/>
    <w:uiPriority w:val="25"/>
    <w:qFormat/>
    <w:rsid w:val="00014566"/>
    <w:pPr>
      <w:keepNext/>
      <w:keepLines/>
      <w:spacing w:before="240" w:after="120"/>
      <w:ind w:left="1236"/>
    </w:pPr>
    <w:rPr>
      <w:sz w:val="20"/>
    </w:rPr>
  </w:style>
  <w:style w:type="paragraph" w:customStyle="1" w:styleId="OpiH1">
    <w:name w:val="Opi_H_1"/>
    <w:basedOn w:val="ECHRHeading2"/>
    <w:uiPriority w:val="42"/>
    <w:qFormat/>
    <w:rsid w:val="00014566"/>
    <w:pPr>
      <w:ind w:left="635" w:hanging="357"/>
      <w:outlineLvl w:val="2"/>
    </w:pPr>
  </w:style>
  <w:style w:type="paragraph" w:customStyle="1" w:styleId="OpiHa0">
    <w:name w:val="Opi_H_a"/>
    <w:basedOn w:val="ECHRHeading3"/>
    <w:uiPriority w:val="43"/>
    <w:qFormat/>
    <w:rsid w:val="00014566"/>
    <w:pPr>
      <w:ind w:left="833" w:hanging="357"/>
      <w:outlineLvl w:val="3"/>
    </w:pPr>
    <w:rPr>
      <w:b/>
      <w:i w:val="0"/>
      <w:sz w:val="20"/>
    </w:rPr>
  </w:style>
  <w:style w:type="paragraph" w:customStyle="1" w:styleId="OpiHi">
    <w:name w:val="Opi_H_i"/>
    <w:basedOn w:val="ECHRHeading4"/>
    <w:uiPriority w:val="44"/>
    <w:qFormat/>
    <w:rsid w:val="00014566"/>
    <w:pPr>
      <w:ind w:left="1037" w:hanging="357"/>
      <w:outlineLvl w:val="4"/>
    </w:pPr>
    <w:rPr>
      <w:b w:val="0"/>
      <w:i/>
    </w:rPr>
  </w:style>
  <w:style w:type="paragraph" w:styleId="a9">
    <w:name w:val="header"/>
    <w:basedOn w:val="a2"/>
    <w:link w:val="af"/>
    <w:uiPriority w:val="57"/>
    <w:semiHidden/>
    <w:rsid w:val="00941747"/>
    <w:pPr>
      <w:tabs>
        <w:tab w:val="center" w:pos="4536"/>
        <w:tab w:val="right" w:pos="9696"/>
      </w:tabs>
      <w:ind w:left="-680" w:right="-680"/>
    </w:pPr>
  </w:style>
  <w:style w:type="character" w:customStyle="1" w:styleId="af">
    <w:name w:val="Верхний колонтитул Знак"/>
    <w:basedOn w:val="a3"/>
    <w:link w:val="a9"/>
    <w:uiPriority w:val="57"/>
    <w:semiHidden/>
    <w:rsid w:val="008D4752"/>
  </w:style>
  <w:style w:type="character" w:customStyle="1" w:styleId="10">
    <w:name w:val="Заголовок 1 Знак"/>
    <w:basedOn w:val="a3"/>
    <w:link w:val="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a2"/>
    <w:uiPriority w:val="19"/>
    <w:qFormat/>
    <w:rsid w:val="00014566"/>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
    <w:basedOn w:val="21"/>
    <w:next w:val="a2"/>
    <w:uiPriority w:val="20"/>
    <w:qFormat/>
    <w:rsid w:val="00014566"/>
    <w:pPr>
      <w:keepNext/>
      <w:keepLines/>
      <w:numPr>
        <w:ilvl w:val="0"/>
        <w:numId w:val="0"/>
      </w:numPr>
      <w:tabs>
        <w:tab w:val="left" w:pos="584"/>
      </w:tabs>
      <w:spacing w:before="360" w:after="240"/>
      <w:ind w:left="584" w:hanging="352"/>
      <w:jc w:val="both"/>
    </w:pPr>
    <w:rPr>
      <w:color w:val="auto"/>
      <w:sz w:val="24"/>
    </w:rPr>
  </w:style>
  <w:style w:type="character" w:customStyle="1" w:styleId="22">
    <w:name w:val="Заголовок 2 Знак"/>
    <w:basedOn w:val="a3"/>
    <w:link w:val="21"/>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a2"/>
    <w:semiHidden/>
    <w:qFormat/>
    <w:rsid w:val="00014566"/>
    <w:rPr>
      <w:color w:val="00B050"/>
    </w:rPr>
  </w:style>
  <w:style w:type="paragraph" w:customStyle="1" w:styleId="JuCase">
    <w:name w:val="Ju_Case"/>
    <w:basedOn w:val="a2"/>
    <w:next w:val="a2"/>
    <w:uiPriority w:val="10"/>
    <w:rsid w:val="00D60D87"/>
    <w:pPr>
      <w:ind w:firstLine="284"/>
    </w:pPr>
    <w:rPr>
      <w:b/>
    </w:rPr>
  </w:style>
  <w:style w:type="character" w:customStyle="1" w:styleId="32">
    <w:name w:val="Заголовок 3 Знак"/>
    <w:basedOn w:val="a3"/>
    <w:link w:val="31"/>
    <w:uiPriority w:val="99"/>
    <w:semiHidden/>
    <w:rsid w:val="00A671F8"/>
    <w:rPr>
      <w:rFonts w:asciiTheme="majorHAnsi" w:eastAsiaTheme="majorEastAsia" w:hAnsiTheme="majorHAnsi" w:cstheme="majorBidi"/>
      <w:b/>
      <w:bCs/>
      <w:color w:val="5F5F5F"/>
    </w:rPr>
  </w:style>
  <w:style w:type="character" w:customStyle="1" w:styleId="42">
    <w:name w:val="Заголовок 4 Знак"/>
    <w:basedOn w:val="a3"/>
    <w:link w:val="41"/>
    <w:uiPriority w:val="99"/>
    <w:semiHidden/>
    <w:rsid w:val="00A671F8"/>
    <w:rPr>
      <w:rFonts w:asciiTheme="majorHAnsi" w:eastAsiaTheme="majorEastAsia" w:hAnsiTheme="majorHAnsi" w:cstheme="majorBidi"/>
      <w:b/>
      <w:bCs/>
      <w:i/>
      <w:iCs/>
      <w:color w:val="777777"/>
    </w:rPr>
  </w:style>
  <w:style w:type="character" w:customStyle="1" w:styleId="52">
    <w:name w:val="Заголовок 5 Знак"/>
    <w:basedOn w:val="a3"/>
    <w:link w:val="51"/>
    <w:uiPriority w:val="99"/>
    <w:semiHidden/>
    <w:rsid w:val="00014566"/>
    <w:rPr>
      <w:rFonts w:asciiTheme="majorHAnsi" w:eastAsiaTheme="majorEastAsia" w:hAnsiTheme="majorHAnsi" w:cstheme="majorBidi"/>
      <w:b/>
      <w:bCs/>
      <w:color w:val="808080"/>
    </w:rPr>
  </w:style>
  <w:style w:type="character" w:styleId="af0">
    <w:name w:val="Subtle Emphasis"/>
    <w:uiPriority w:val="99"/>
    <w:semiHidden/>
    <w:qFormat/>
    <w:rsid w:val="00014566"/>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a2"/>
    <w:uiPriority w:val="18"/>
    <w:qFormat/>
    <w:rsid w:val="00014566"/>
    <w:pPr>
      <w:keepNext/>
      <w:keepLines/>
      <w:spacing w:before="720" w:after="240"/>
      <w:outlineLvl w:val="0"/>
    </w:pPr>
    <w:rPr>
      <w:rFonts w:asciiTheme="majorHAnsi" w:hAnsiTheme="majorHAnsi"/>
      <w:sz w:val="28"/>
    </w:rPr>
  </w:style>
  <w:style w:type="character" w:styleId="af1">
    <w:name w:val="Emphasis"/>
    <w:uiPriority w:val="99"/>
    <w:semiHidden/>
    <w:qFormat/>
    <w:rsid w:val="00014566"/>
    <w:rPr>
      <w:b/>
      <w:bCs/>
      <w:i/>
      <w:iCs/>
      <w:spacing w:val="10"/>
      <w:bdr w:val="none" w:sz="0" w:space="0" w:color="auto"/>
      <w:shd w:val="clear" w:color="auto" w:fill="auto"/>
    </w:rPr>
  </w:style>
  <w:style w:type="paragraph" w:styleId="af2">
    <w:name w:val="footer"/>
    <w:basedOn w:val="a2"/>
    <w:link w:val="af3"/>
    <w:uiPriority w:val="57"/>
    <w:semiHidden/>
    <w:rsid w:val="00941747"/>
    <w:pPr>
      <w:tabs>
        <w:tab w:val="center" w:pos="4536"/>
        <w:tab w:val="right" w:pos="9696"/>
      </w:tabs>
      <w:ind w:left="-680" w:right="-680"/>
    </w:pPr>
  </w:style>
  <w:style w:type="character" w:customStyle="1" w:styleId="af3">
    <w:name w:val="Нижний колонтитул Знак"/>
    <w:basedOn w:val="a3"/>
    <w:link w:val="af2"/>
    <w:uiPriority w:val="57"/>
    <w:semiHidden/>
    <w:rsid w:val="008D4752"/>
  </w:style>
  <w:style w:type="character" w:styleId="af4">
    <w:name w:val="footnote reference"/>
    <w:basedOn w:val="a3"/>
    <w:uiPriority w:val="99"/>
    <w:semiHidden/>
    <w:rsid w:val="00941747"/>
    <w:rPr>
      <w:vertAlign w:val="superscript"/>
    </w:rPr>
  </w:style>
  <w:style w:type="paragraph" w:styleId="af5">
    <w:name w:val="footnote text"/>
    <w:basedOn w:val="a2"/>
    <w:link w:val="af6"/>
    <w:uiPriority w:val="99"/>
    <w:semiHidden/>
    <w:rsid w:val="00941747"/>
    <w:rPr>
      <w:sz w:val="20"/>
      <w:szCs w:val="20"/>
    </w:rPr>
  </w:style>
  <w:style w:type="character" w:customStyle="1" w:styleId="af6">
    <w:name w:val="Текст сноски Знак"/>
    <w:basedOn w:val="a3"/>
    <w:link w:val="af5"/>
    <w:uiPriority w:val="99"/>
    <w:semiHidden/>
    <w:rsid w:val="00A671F8"/>
    <w:rPr>
      <w:rFonts w:eastAsiaTheme="minorEastAsia"/>
      <w:sz w:val="20"/>
      <w:szCs w:val="20"/>
    </w:rPr>
  </w:style>
  <w:style w:type="character" w:customStyle="1" w:styleId="60">
    <w:name w:val="Заголовок 6 Знак"/>
    <w:basedOn w:val="a3"/>
    <w:link w:val="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70">
    <w:name w:val="Заголовок 7 Знак"/>
    <w:basedOn w:val="a3"/>
    <w:link w:val="7"/>
    <w:uiPriority w:val="99"/>
    <w:semiHidden/>
    <w:rsid w:val="00014566"/>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014566"/>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014566"/>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941747"/>
    <w:rPr>
      <w:color w:val="0072BC" w:themeColor="hyperlink"/>
      <w:u w:val="single"/>
    </w:rPr>
  </w:style>
  <w:style w:type="character" w:styleId="af8">
    <w:name w:val="Intense Emphasis"/>
    <w:uiPriority w:val="99"/>
    <w:semiHidden/>
    <w:qFormat/>
    <w:rsid w:val="00014566"/>
    <w:rPr>
      <w:b/>
      <w:bCs/>
    </w:rPr>
  </w:style>
  <w:style w:type="paragraph" w:styleId="af9">
    <w:name w:val="Intense Quote"/>
    <w:basedOn w:val="a2"/>
    <w:next w:val="a2"/>
    <w:link w:val="afa"/>
    <w:uiPriority w:val="99"/>
    <w:semiHidden/>
    <w:qFormat/>
    <w:rsid w:val="00014566"/>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014566"/>
    <w:rPr>
      <w:rFonts w:eastAsiaTheme="minorEastAsia"/>
      <w:b/>
      <w:bCs/>
      <w:i/>
      <w:iCs/>
      <w:lang w:bidi="en-US"/>
    </w:rPr>
  </w:style>
  <w:style w:type="character" w:styleId="afb">
    <w:name w:val="Intense Reference"/>
    <w:uiPriority w:val="99"/>
    <w:semiHidden/>
    <w:qFormat/>
    <w:rsid w:val="00014566"/>
    <w:rPr>
      <w:smallCaps/>
      <w:spacing w:val="5"/>
      <w:u w:val="single"/>
    </w:rPr>
  </w:style>
  <w:style w:type="paragraph" w:styleId="afc">
    <w:name w:val="List Paragraph"/>
    <w:basedOn w:val="a2"/>
    <w:uiPriority w:val="99"/>
    <w:semiHidden/>
    <w:qFormat/>
    <w:rsid w:val="00014566"/>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014566"/>
    <w:pPr>
      <w:spacing w:before="200"/>
      <w:ind w:left="360" w:right="360"/>
    </w:pPr>
    <w:rPr>
      <w:i/>
      <w:iCs/>
      <w:sz w:val="22"/>
      <w:lang w:bidi="en-US"/>
    </w:rPr>
  </w:style>
  <w:style w:type="character" w:customStyle="1" w:styleId="24">
    <w:name w:val="Цитата 2 Знак"/>
    <w:basedOn w:val="a3"/>
    <w:link w:val="23"/>
    <w:uiPriority w:val="99"/>
    <w:semiHidden/>
    <w:rsid w:val="00014566"/>
    <w:rPr>
      <w:rFonts w:eastAsiaTheme="minorEastAsia"/>
      <w:i/>
      <w:iCs/>
      <w:lang w:bidi="en-US"/>
    </w:rPr>
  </w:style>
  <w:style w:type="character" w:styleId="afd">
    <w:name w:val="Subtle Reference"/>
    <w:uiPriority w:val="99"/>
    <w:semiHidden/>
    <w:qFormat/>
    <w:rsid w:val="00014566"/>
    <w:rPr>
      <w:smallCaps/>
    </w:rPr>
  </w:style>
  <w:style w:type="table" w:styleId="afe">
    <w:name w:val="Table Grid"/>
    <w:basedOn w:val="a4"/>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EA185E"/>
    <w:pPr>
      <w:spacing w:before="120" w:after="60"/>
      <w:ind w:left="340" w:right="340" w:hanging="340"/>
    </w:pPr>
    <w:rPr>
      <w:color w:val="0D0D0D" w:themeColor="text1" w:themeTint="F2"/>
    </w:rPr>
  </w:style>
  <w:style w:type="paragraph" w:styleId="25">
    <w:name w:val="toc 2"/>
    <w:basedOn w:val="a2"/>
    <w:next w:val="a2"/>
    <w:autoRedefine/>
    <w:uiPriority w:val="99"/>
    <w:semiHidden/>
    <w:rsid w:val="00EA185E"/>
    <w:pPr>
      <w:spacing w:after="60"/>
      <w:ind w:left="680" w:right="340" w:hanging="340"/>
    </w:pPr>
  </w:style>
  <w:style w:type="paragraph" w:styleId="33">
    <w:name w:val="toc 3"/>
    <w:basedOn w:val="a2"/>
    <w:next w:val="a2"/>
    <w:autoRedefine/>
    <w:uiPriority w:val="99"/>
    <w:semiHidden/>
    <w:rsid w:val="00EA185E"/>
    <w:pPr>
      <w:spacing w:after="60"/>
      <w:ind w:left="1020" w:right="340" w:hanging="340"/>
    </w:pPr>
  </w:style>
  <w:style w:type="paragraph" w:styleId="43">
    <w:name w:val="toc 4"/>
    <w:basedOn w:val="a2"/>
    <w:next w:val="a2"/>
    <w:autoRedefine/>
    <w:uiPriority w:val="99"/>
    <w:semiHidden/>
    <w:rsid w:val="00EA185E"/>
    <w:pPr>
      <w:tabs>
        <w:tab w:val="right" w:leader="dot" w:pos="9017"/>
      </w:tabs>
      <w:spacing w:after="60"/>
      <w:ind w:left="1361" w:right="340" w:hanging="340"/>
    </w:pPr>
  </w:style>
  <w:style w:type="paragraph" w:styleId="53">
    <w:name w:val="toc 5"/>
    <w:basedOn w:val="a2"/>
    <w:next w:val="a2"/>
    <w:autoRedefine/>
    <w:uiPriority w:val="99"/>
    <w:semiHidden/>
    <w:rsid w:val="00B46543"/>
    <w:pPr>
      <w:spacing w:after="60"/>
      <w:ind w:left="1701" w:right="340" w:hanging="340"/>
    </w:pPr>
  </w:style>
  <w:style w:type="paragraph" w:styleId="aff">
    <w:name w:val="TOC Heading"/>
    <w:basedOn w:val="1"/>
    <w:next w:val="a2"/>
    <w:uiPriority w:val="99"/>
    <w:semiHidden/>
    <w:qFormat/>
    <w:rsid w:val="00014566"/>
    <w:pPr>
      <w:numPr>
        <w:numId w:val="0"/>
      </w:numPr>
      <w:jc w:val="both"/>
      <w:outlineLvl w:val="9"/>
    </w:pPr>
    <w:rPr>
      <w:color w:val="474747" w:themeColor="accent3" w:themeShade="BF"/>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qFormat/>
    <w:rsid w:val="00014566"/>
    <w:pPr>
      <w:spacing w:before="120" w:after="120"/>
      <w:ind w:left="425" w:firstLine="142"/>
    </w:pPr>
    <w:rPr>
      <w:sz w:val="20"/>
    </w:rPr>
  </w:style>
  <w:style w:type="paragraph" w:customStyle="1" w:styleId="ECHRPara">
    <w:name w:val="ECHR_Para"/>
    <w:aliases w:val="Ju_Para,Para"/>
    <w:basedOn w:val="a2"/>
    <w:link w:val="JuParaCar"/>
    <w:uiPriority w:val="12"/>
    <w:qFormat/>
    <w:rsid w:val="00C621C2"/>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DF0549"/>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C621C2"/>
    <w:pPr>
      <w:ind w:left="340" w:hanging="340"/>
    </w:pPr>
  </w:style>
  <w:style w:type="paragraph" w:customStyle="1" w:styleId="JuSigned">
    <w:name w:val="Ju_Signed"/>
    <w:basedOn w:val="a2"/>
    <w:next w:val="JuParaLast"/>
    <w:uiPriority w:val="32"/>
    <w:qFormat/>
    <w:rsid w:val="00C621C2"/>
    <w:pPr>
      <w:tabs>
        <w:tab w:val="center" w:pos="851"/>
        <w:tab w:val="center" w:pos="6407"/>
      </w:tabs>
      <w:spacing w:before="720"/>
      <w:jc w:val="left"/>
    </w:pPr>
  </w:style>
  <w:style w:type="paragraph" w:customStyle="1" w:styleId="JuParaLast">
    <w:name w:val="Ju_Para_Last"/>
    <w:basedOn w:val="a2"/>
    <w:next w:val="a2"/>
    <w:uiPriority w:val="30"/>
    <w:qFormat/>
    <w:rsid w:val="00014566"/>
    <w:pPr>
      <w:keepNext/>
      <w:keepLines/>
      <w:spacing w:before="240"/>
      <w:ind w:firstLine="284"/>
    </w:pPr>
  </w:style>
  <w:style w:type="paragraph" w:customStyle="1" w:styleId="JuCourt">
    <w:name w:val="Ju_Court"/>
    <w:basedOn w:val="a2"/>
    <w:next w:val="a2"/>
    <w:uiPriority w:val="16"/>
    <w:qFormat/>
    <w:rsid w:val="00014566"/>
    <w:pPr>
      <w:tabs>
        <w:tab w:val="left" w:pos="907"/>
        <w:tab w:val="left" w:pos="1701"/>
        <w:tab w:val="right" w:pos="7371"/>
      </w:tabs>
      <w:spacing w:before="240"/>
      <w:ind w:left="397" w:hanging="397"/>
      <w:jc w:val="left"/>
    </w:pPr>
    <w:rPr>
      <w:lang w:bidi="en-US"/>
    </w:rPr>
  </w:style>
  <w:style w:type="character" w:styleId="aff1">
    <w:name w:val="page number"/>
    <w:uiPriority w:val="99"/>
    <w:semiHidden/>
    <w:rsid w:val="00014566"/>
    <w:rPr>
      <w:sz w:val="18"/>
    </w:rPr>
  </w:style>
  <w:style w:type="paragraph" w:customStyle="1" w:styleId="JuLista">
    <w:name w:val="Ju_List_a"/>
    <w:basedOn w:val="a2"/>
    <w:uiPriority w:val="28"/>
    <w:qFormat/>
    <w:rsid w:val="00C621C2"/>
    <w:pPr>
      <w:ind w:left="346"/>
    </w:pPr>
  </w:style>
  <w:style w:type="paragraph" w:customStyle="1" w:styleId="JuListi">
    <w:name w:val="Ju_List_i"/>
    <w:basedOn w:val="a2"/>
    <w:next w:val="JuLista"/>
    <w:uiPriority w:val="28"/>
    <w:qFormat/>
    <w:rsid w:val="00014566"/>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a0">
    <w:name w:val="List Bullet"/>
    <w:basedOn w:val="a2"/>
    <w:uiPriority w:val="99"/>
    <w:semiHidden/>
    <w:rsid w:val="00014566"/>
    <w:pPr>
      <w:numPr>
        <w:numId w:val="8"/>
      </w:numPr>
    </w:pPr>
  </w:style>
  <w:style w:type="character" w:customStyle="1" w:styleId="JuITMark">
    <w:name w:val="Ju_ITMark"/>
    <w:basedOn w:val="a3"/>
    <w:uiPriority w:val="38"/>
    <w:qFormat/>
    <w:rsid w:val="00014566"/>
    <w:rPr>
      <w:vanish w:val="0"/>
      <w:color w:val="auto"/>
      <w:sz w:val="14"/>
    </w:rPr>
  </w:style>
  <w:style w:type="paragraph" w:styleId="affd">
    <w:name w:val="Subtitle"/>
    <w:basedOn w:val="a2"/>
    <w:next w:val="a2"/>
    <w:link w:val="affe"/>
    <w:uiPriority w:val="99"/>
    <w:semiHidden/>
    <w:qFormat/>
    <w:rsid w:val="00014566"/>
    <w:pPr>
      <w:spacing w:after="600"/>
    </w:pPr>
    <w:rPr>
      <w:rFonts w:asciiTheme="majorHAnsi" w:eastAsiaTheme="majorEastAsia" w:hAnsiTheme="majorHAnsi" w:cstheme="majorBidi"/>
      <w:i/>
      <w:iCs/>
      <w:spacing w:val="13"/>
      <w:szCs w:val="24"/>
      <w:lang w:bidi="en-US"/>
    </w:rPr>
  </w:style>
  <w:style w:type="character" w:customStyle="1" w:styleId="affe">
    <w:name w:val="Подзаголовок Знак"/>
    <w:basedOn w:val="a3"/>
    <w:link w:val="affd"/>
    <w:uiPriority w:val="99"/>
    <w:semiHidden/>
    <w:rsid w:val="00014566"/>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9"/>
      </w:numPr>
    </w:pPr>
  </w:style>
  <w:style w:type="numbering" w:styleId="1ai">
    <w:name w:val="Outline List 1"/>
    <w:basedOn w:val="a5"/>
    <w:uiPriority w:val="99"/>
    <w:semiHidden/>
    <w:rsid w:val="00014566"/>
    <w:pPr>
      <w:numPr>
        <w:numId w:val="10"/>
      </w:numPr>
    </w:pPr>
  </w:style>
  <w:style w:type="numbering" w:styleId="a1">
    <w:name w:val="Outline List 3"/>
    <w:basedOn w:val="a5"/>
    <w:uiPriority w:val="99"/>
    <w:semiHidden/>
    <w:rsid w:val="00014566"/>
    <w:pPr>
      <w:numPr>
        <w:numId w:val="11"/>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12"/>
      </w:numPr>
      <w:contextualSpacing/>
    </w:pPr>
  </w:style>
  <w:style w:type="paragraph" w:styleId="30">
    <w:name w:val="List Bullet 3"/>
    <w:basedOn w:val="a2"/>
    <w:uiPriority w:val="99"/>
    <w:semiHidden/>
    <w:rsid w:val="00014566"/>
    <w:pPr>
      <w:numPr>
        <w:numId w:val="13"/>
      </w:numPr>
      <w:contextualSpacing/>
    </w:pPr>
  </w:style>
  <w:style w:type="paragraph" w:styleId="40">
    <w:name w:val="List Bullet 4"/>
    <w:basedOn w:val="a2"/>
    <w:uiPriority w:val="99"/>
    <w:semiHidden/>
    <w:rsid w:val="00014566"/>
    <w:pPr>
      <w:numPr>
        <w:numId w:val="14"/>
      </w:numPr>
      <w:contextualSpacing/>
    </w:pPr>
  </w:style>
  <w:style w:type="paragraph" w:styleId="50">
    <w:name w:val="List Bullet 5"/>
    <w:basedOn w:val="a2"/>
    <w:uiPriority w:val="99"/>
    <w:semiHidden/>
    <w:rsid w:val="00014566"/>
    <w:pPr>
      <w:numPr>
        <w:numId w:val="15"/>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16"/>
      </w:numPr>
      <w:contextualSpacing/>
    </w:pPr>
  </w:style>
  <w:style w:type="paragraph" w:styleId="2">
    <w:name w:val="List Number 2"/>
    <w:basedOn w:val="a2"/>
    <w:uiPriority w:val="99"/>
    <w:semiHidden/>
    <w:rsid w:val="00014566"/>
    <w:pPr>
      <w:numPr>
        <w:numId w:val="17"/>
      </w:numPr>
      <w:contextualSpacing/>
    </w:pPr>
  </w:style>
  <w:style w:type="paragraph" w:styleId="3">
    <w:name w:val="List Number 3"/>
    <w:basedOn w:val="a2"/>
    <w:uiPriority w:val="99"/>
    <w:semiHidden/>
    <w:rsid w:val="00014566"/>
    <w:pPr>
      <w:numPr>
        <w:numId w:val="18"/>
      </w:numPr>
      <w:contextualSpacing/>
    </w:pPr>
  </w:style>
  <w:style w:type="paragraph" w:styleId="4">
    <w:name w:val="List Number 4"/>
    <w:basedOn w:val="a2"/>
    <w:uiPriority w:val="99"/>
    <w:semiHidden/>
    <w:rsid w:val="00014566"/>
    <w:pPr>
      <w:numPr>
        <w:numId w:val="19"/>
      </w:numPr>
      <w:contextualSpacing/>
    </w:pPr>
  </w:style>
  <w:style w:type="paragraph" w:styleId="5">
    <w:name w:val="List Number 5"/>
    <w:basedOn w:val="a2"/>
    <w:uiPriority w:val="99"/>
    <w:semiHidden/>
    <w:rsid w:val="00014566"/>
    <w:pPr>
      <w:numPr>
        <w:numId w:val="20"/>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JuTitle">
    <w:name w:val="Ju_Title"/>
    <w:basedOn w:val="a2"/>
    <w:next w:val="ECHRPara"/>
    <w:uiPriority w:val="3"/>
    <w:qFormat/>
    <w:rsid w:val="00DC77AA"/>
    <w:pPr>
      <w:spacing w:before="720" w:after="240"/>
      <w:jc w:val="center"/>
      <w:outlineLvl w:val="0"/>
    </w:pPr>
    <w:rPr>
      <w:rFonts w:asciiTheme="majorHAnsi" w:hAnsiTheme="majorHAnsi"/>
      <w:b/>
      <w:caps/>
    </w:rPr>
  </w:style>
  <w:style w:type="character" w:customStyle="1" w:styleId="JuParaCar">
    <w:name w:val="Ju_Para Car"/>
    <w:link w:val="ECHRPara"/>
    <w:uiPriority w:val="12"/>
    <w:rsid w:val="00113C2B"/>
    <w:rPr>
      <w:rFonts w:eastAsiaTheme="minorEastAsia"/>
      <w:sz w:val="24"/>
    </w:rPr>
  </w:style>
  <w:style w:type="character" w:customStyle="1" w:styleId="ECHRParaChar">
    <w:name w:val="ECHR_Para Char"/>
    <w:aliases w:val="Ju_Para Char"/>
    <w:uiPriority w:val="12"/>
    <w:rsid w:val="00823470"/>
    <w:rPr>
      <w:rFonts w:eastAsiaTheme="minorEastAsia"/>
      <w:sz w:val="24"/>
    </w:rPr>
  </w:style>
  <w:style w:type="paragraph" w:styleId="affffff">
    <w:name w:val="Revision"/>
    <w:hidden/>
    <w:uiPriority w:val="99"/>
    <w:semiHidden/>
    <w:rsid w:val="00CB5FAE"/>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AE268D"/>
    <w:pPr>
      <w:jc w:val="both"/>
    </w:pPr>
    <w:rPr>
      <w:rFonts w:eastAsiaTheme="minorEastAsia"/>
      <w:sz w:val="24"/>
      <w:lang w:val="en-GB"/>
    </w:rPr>
  </w:style>
  <w:style w:type="paragraph" w:styleId="1">
    <w:name w:val="heading 1"/>
    <w:basedOn w:val="a2"/>
    <w:next w:val="a2"/>
    <w:link w:val="10"/>
    <w:uiPriority w:val="99"/>
    <w:semiHidden/>
    <w:rsid w:val="00941747"/>
    <w:pPr>
      <w:numPr>
        <w:numId w:val="11"/>
      </w:numPr>
      <w:spacing w:before="480"/>
      <w:contextualSpacing/>
      <w:jc w:val="left"/>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941747"/>
    <w:pPr>
      <w:numPr>
        <w:ilvl w:val="1"/>
        <w:numId w:val="11"/>
      </w:numPr>
      <w:spacing w:before="200"/>
      <w:jc w:val="left"/>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941747"/>
    <w:pPr>
      <w:numPr>
        <w:ilvl w:val="2"/>
        <w:numId w:val="11"/>
      </w:numPr>
      <w:spacing w:before="200" w:line="271" w:lineRule="auto"/>
      <w:jc w:val="left"/>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941747"/>
    <w:pPr>
      <w:numPr>
        <w:ilvl w:val="3"/>
        <w:numId w:val="11"/>
      </w:numPr>
      <w:spacing w:before="200"/>
      <w:jc w:val="left"/>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01456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941747"/>
    <w:pPr>
      <w:numPr>
        <w:ilvl w:val="5"/>
        <w:numId w:val="11"/>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014566"/>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014566"/>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014566"/>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41747"/>
    <w:rPr>
      <w:rFonts w:ascii="Tahoma" w:hAnsi="Tahoma" w:cs="Tahoma"/>
      <w:sz w:val="16"/>
      <w:szCs w:val="16"/>
    </w:rPr>
  </w:style>
  <w:style w:type="character" w:customStyle="1" w:styleId="a7">
    <w:name w:val="Текст выноски Знак"/>
    <w:basedOn w:val="a3"/>
    <w:link w:val="a6"/>
    <w:uiPriority w:val="99"/>
    <w:semiHidden/>
    <w:rsid w:val="00A671F8"/>
    <w:rPr>
      <w:rFonts w:ascii="Tahoma" w:eastAsiaTheme="minorEastAsia" w:hAnsi="Tahoma" w:cs="Tahoma"/>
      <w:sz w:val="16"/>
      <w:szCs w:val="16"/>
    </w:rPr>
  </w:style>
  <w:style w:type="character" w:styleId="a8">
    <w:name w:val="Book Title"/>
    <w:uiPriority w:val="99"/>
    <w:semiHidden/>
    <w:qFormat/>
    <w:rsid w:val="00014566"/>
    <w:rPr>
      <w:i/>
      <w:iCs/>
      <w:smallCaps/>
      <w:spacing w:val="5"/>
    </w:rPr>
  </w:style>
  <w:style w:type="paragraph" w:customStyle="1" w:styleId="ECHRHeader">
    <w:name w:val="ECHR_Header"/>
    <w:aliases w:val="Ju_Header"/>
    <w:basedOn w:val="a9"/>
    <w:uiPriority w:val="4"/>
    <w:qFormat/>
    <w:rsid w:val="00014566"/>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a2"/>
    <w:uiPriority w:val="46"/>
    <w:qFormat/>
    <w:rsid w:val="00C621C2"/>
    <w:pPr>
      <w:ind w:firstLine="284"/>
    </w:pPr>
  </w:style>
  <w:style w:type="character" w:styleId="aa">
    <w:name w:val="Strong"/>
    <w:uiPriority w:val="99"/>
    <w:semiHidden/>
    <w:qFormat/>
    <w:rsid w:val="00014566"/>
    <w:rPr>
      <w:b/>
      <w:bCs/>
    </w:rPr>
  </w:style>
  <w:style w:type="paragraph" w:styleId="ab">
    <w:name w:val="No Spacing"/>
    <w:basedOn w:val="a2"/>
    <w:link w:val="ac"/>
    <w:semiHidden/>
    <w:qFormat/>
    <w:rsid w:val="00014566"/>
    <w:rPr>
      <w:sz w:val="22"/>
    </w:rPr>
  </w:style>
  <w:style w:type="character" w:customStyle="1" w:styleId="ac">
    <w:name w:val="Без интервала Знак"/>
    <w:basedOn w:val="a3"/>
    <w:link w:val="ab"/>
    <w:semiHidden/>
    <w:rsid w:val="00014566"/>
    <w:rPr>
      <w:rFonts w:eastAsiaTheme="minorEastAsia"/>
    </w:rPr>
  </w:style>
  <w:style w:type="paragraph" w:customStyle="1" w:styleId="JuParaSub">
    <w:name w:val="Ju_Para_Sub"/>
    <w:basedOn w:val="a2"/>
    <w:uiPriority w:val="13"/>
    <w:qFormat/>
    <w:rsid w:val="00C621C2"/>
    <w:pPr>
      <w:ind w:left="284" w:firstLine="284"/>
    </w:pPr>
  </w:style>
  <w:style w:type="paragraph" w:customStyle="1" w:styleId="OpiParaSub">
    <w:name w:val="Opi_Para_Sub"/>
    <w:basedOn w:val="JuParaSub"/>
    <w:uiPriority w:val="47"/>
    <w:qFormat/>
    <w:rsid w:val="00014566"/>
  </w:style>
  <w:style w:type="paragraph" w:customStyle="1" w:styleId="OpiQuot">
    <w:name w:val="Opi_Quot"/>
    <w:basedOn w:val="ECHRParaQuote"/>
    <w:uiPriority w:val="48"/>
    <w:qFormat/>
    <w:rsid w:val="00014566"/>
  </w:style>
  <w:style w:type="paragraph" w:customStyle="1" w:styleId="OpiQuotSub">
    <w:name w:val="Opi_Quot_Sub"/>
    <w:basedOn w:val="JuQuotSub"/>
    <w:uiPriority w:val="49"/>
    <w:qFormat/>
    <w:rsid w:val="00014566"/>
  </w:style>
  <w:style w:type="paragraph" w:customStyle="1" w:styleId="ECHRTitleCentre3">
    <w:name w:val="ECHR_Title_Centre_3"/>
    <w:aliases w:val="Ju_H_Article"/>
    <w:basedOn w:val="a2"/>
    <w:next w:val="ECHRParaQuote"/>
    <w:uiPriority w:val="27"/>
    <w:qFormat/>
    <w:rsid w:val="0001456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014566"/>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14566"/>
    <w:pPr>
      <w:ind w:left="567"/>
    </w:pPr>
  </w:style>
  <w:style w:type="paragraph" w:customStyle="1" w:styleId="JuInitialled">
    <w:name w:val="Ju_Initialled"/>
    <w:basedOn w:val="a2"/>
    <w:uiPriority w:val="31"/>
    <w:qFormat/>
    <w:rsid w:val="00014566"/>
    <w:pPr>
      <w:tabs>
        <w:tab w:val="center" w:pos="6407"/>
      </w:tabs>
      <w:spacing w:before="720"/>
      <w:jc w:val="right"/>
    </w:pPr>
  </w:style>
  <w:style w:type="paragraph" w:customStyle="1" w:styleId="OpiHA">
    <w:name w:val="Opi_H_A"/>
    <w:basedOn w:val="ECHRHeading1"/>
    <w:next w:val="OpiPara"/>
    <w:uiPriority w:val="41"/>
    <w:qFormat/>
    <w:rsid w:val="00014566"/>
    <w:pPr>
      <w:outlineLvl w:val="1"/>
    </w:pPr>
    <w:rPr>
      <w:bCs w:val="0"/>
    </w:rPr>
  </w:style>
  <w:style w:type="character" w:customStyle="1" w:styleId="JUNAMES">
    <w:name w:val="JU_NAMES"/>
    <w:uiPriority w:val="17"/>
    <w:qFormat/>
    <w:rsid w:val="00014566"/>
    <w:rPr>
      <w:caps w:val="0"/>
      <w:smallCaps/>
    </w:rPr>
  </w:style>
  <w:style w:type="paragraph" w:customStyle="1" w:styleId="OpiTranslation">
    <w:name w:val="Opi_Translation"/>
    <w:basedOn w:val="a2"/>
    <w:next w:val="OpiPara"/>
    <w:uiPriority w:val="40"/>
    <w:qFormat/>
    <w:rsid w:val="00014566"/>
    <w:pPr>
      <w:jc w:val="center"/>
      <w:outlineLvl w:val="0"/>
    </w:pPr>
    <w:rPr>
      <w:i/>
    </w:rPr>
  </w:style>
  <w:style w:type="paragraph" w:styleId="ad">
    <w:name w:val="Title"/>
    <w:basedOn w:val="a2"/>
    <w:next w:val="a2"/>
    <w:link w:val="ae"/>
    <w:uiPriority w:val="99"/>
    <w:semiHidden/>
    <w:qFormat/>
    <w:rsid w:val="0001456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9"/>
    <w:semiHidden/>
    <w:rsid w:val="0001456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a2"/>
    <w:uiPriority w:val="21"/>
    <w:qFormat/>
    <w:rsid w:val="00014566"/>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41"/>
    <w:next w:val="a2"/>
    <w:uiPriority w:val="22"/>
    <w:qFormat/>
    <w:rsid w:val="00014566"/>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51"/>
    <w:next w:val="a2"/>
    <w:uiPriority w:val="23"/>
    <w:qFormat/>
    <w:rsid w:val="0001456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a2"/>
    <w:uiPriority w:val="24"/>
    <w:qFormat/>
    <w:rsid w:val="00014566"/>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7"/>
    <w:next w:val="a2"/>
    <w:uiPriority w:val="25"/>
    <w:qFormat/>
    <w:rsid w:val="00014566"/>
    <w:pPr>
      <w:keepNext/>
      <w:keepLines/>
      <w:spacing w:before="240" w:after="120"/>
      <w:ind w:left="1236"/>
    </w:pPr>
    <w:rPr>
      <w:sz w:val="20"/>
    </w:rPr>
  </w:style>
  <w:style w:type="paragraph" w:customStyle="1" w:styleId="OpiH1">
    <w:name w:val="Opi_H_1"/>
    <w:basedOn w:val="ECHRHeading2"/>
    <w:uiPriority w:val="42"/>
    <w:qFormat/>
    <w:rsid w:val="00014566"/>
    <w:pPr>
      <w:ind w:left="635" w:hanging="357"/>
      <w:outlineLvl w:val="2"/>
    </w:pPr>
  </w:style>
  <w:style w:type="paragraph" w:customStyle="1" w:styleId="OpiHa0">
    <w:name w:val="Opi_H_a"/>
    <w:basedOn w:val="ECHRHeading3"/>
    <w:uiPriority w:val="43"/>
    <w:qFormat/>
    <w:rsid w:val="00014566"/>
    <w:pPr>
      <w:ind w:left="833" w:hanging="357"/>
      <w:outlineLvl w:val="3"/>
    </w:pPr>
    <w:rPr>
      <w:b/>
      <w:i w:val="0"/>
      <w:sz w:val="20"/>
    </w:rPr>
  </w:style>
  <w:style w:type="paragraph" w:customStyle="1" w:styleId="OpiHi">
    <w:name w:val="Opi_H_i"/>
    <w:basedOn w:val="ECHRHeading4"/>
    <w:uiPriority w:val="44"/>
    <w:qFormat/>
    <w:rsid w:val="00014566"/>
    <w:pPr>
      <w:ind w:left="1037" w:hanging="357"/>
      <w:outlineLvl w:val="4"/>
    </w:pPr>
    <w:rPr>
      <w:b w:val="0"/>
      <w:i/>
    </w:rPr>
  </w:style>
  <w:style w:type="paragraph" w:styleId="a9">
    <w:name w:val="header"/>
    <w:basedOn w:val="a2"/>
    <w:link w:val="af"/>
    <w:uiPriority w:val="57"/>
    <w:semiHidden/>
    <w:rsid w:val="00941747"/>
    <w:pPr>
      <w:tabs>
        <w:tab w:val="center" w:pos="4536"/>
        <w:tab w:val="right" w:pos="9696"/>
      </w:tabs>
      <w:ind w:left="-680" w:right="-680"/>
    </w:pPr>
  </w:style>
  <w:style w:type="character" w:customStyle="1" w:styleId="af">
    <w:name w:val="Верхний колонтитул Знак"/>
    <w:basedOn w:val="a3"/>
    <w:link w:val="a9"/>
    <w:uiPriority w:val="57"/>
    <w:semiHidden/>
    <w:rsid w:val="008D4752"/>
  </w:style>
  <w:style w:type="character" w:customStyle="1" w:styleId="10">
    <w:name w:val="Заголовок 1 Знак"/>
    <w:basedOn w:val="a3"/>
    <w:link w:val="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a2"/>
    <w:uiPriority w:val="19"/>
    <w:qFormat/>
    <w:rsid w:val="00014566"/>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
    <w:basedOn w:val="21"/>
    <w:next w:val="a2"/>
    <w:uiPriority w:val="20"/>
    <w:qFormat/>
    <w:rsid w:val="00014566"/>
    <w:pPr>
      <w:keepNext/>
      <w:keepLines/>
      <w:numPr>
        <w:ilvl w:val="0"/>
        <w:numId w:val="0"/>
      </w:numPr>
      <w:tabs>
        <w:tab w:val="left" w:pos="584"/>
      </w:tabs>
      <w:spacing w:before="360" w:after="240"/>
      <w:ind w:left="584" w:hanging="352"/>
      <w:jc w:val="both"/>
    </w:pPr>
    <w:rPr>
      <w:color w:val="auto"/>
      <w:sz w:val="24"/>
    </w:rPr>
  </w:style>
  <w:style w:type="character" w:customStyle="1" w:styleId="22">
    <w:name w:val="Заголовок 2 Знак"/>
    <w:basedOn w:val="a3"/>
    <w:link w:val="21"/>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a2"/>
    <w:semiHidden/>
    <w:qFormat/>
    <w:rsid w:val="00014566"/>
    <w:rPr>
      <w:color w:val="00B050"/>
    </w:rPr>
  </w:style>
  <w:style w:type="paragraph" w:customStyle="1" w:styleId="JuCase">
    <w:name w:val="Ju_Case"/>
    <w:basedOn w:val="a2"/>
    <w:next w:val="a2"/>
    <w:uiPriority w:val="10"/>
    <w:rsid w:val="00D60D87"/>
    <w:pPr>
      <w:ind w:firstLine="284"/>
    </w:pPr>
    <w:rPr>
      <w:b/>
    </w:rPr>
  </w:style>
  <w:style w:type="character" w:customStyle="1" w:styleId="32">
    <w:name w:val="Заголовок 3 Знак"/>
    <w:basedOn w:val="a3"/>
    <w:link w:val="31"/>
    <w:uiPriority w:val="99"/>
    <w:semiHidden/>
    <w:rsid w:val="00A671F8"/>
    <w:rPr>
      <w:rFonts w:asciiTheme="majorHAnsi" w:eastAsiaTheme="majorEastAsia" w:hAnsiTheme="majorHAnsi" w:cstheme="majorBidi"/>
      <w:b/>
      <w:bCs/>
      <w:color w:val="5F5F5F"/>
    </w:rPr>
  </w:style>
  <w:style w:type="character" w:customStyle="1" w:styleId="42">
    <w:name w:val="Заголовок 4 Знак"/>
    <w:basedOn w:val="a3"/>
    <w:link w:val="41"/>
    <w:uiPriority w:val="99"/>
    <w:semiHidden/>
    <w:rsid w:val="00A671F8"/>
    <w:rPr>
      <w:rFonts w:asciiTheme="majorHAnsi" w:eastAsiaTheme="majorEastAsia" w:hAnsiTheme="majorHAnsi" w:cstheme="majorBidi"/>
      <w:b/>
      <w:bCs/>
      <w:i/>
      <w:iCs/>
      <w:color w:val="777777"/>
    </w:rPr>
  </w:style>
  <w:style w:type="character" w:customStyle="1" w:styleId="52">
    <w:name w:val="Заголовок 5 Знак"/>
    <w:basedOn w:val="a3"/>
    <w:link w:val="51"/>
    <w:uiPriority w:val="99"/>
    <w:semiHidden/>
    <w:rsid w:val="00014566"/>
    <w:rPr>
      <w:rFonts w:asciiTheme="majorHAnsi" w:eastAsiaTheme="majorEastAsia" w:hAnsiTheme="majorHAnsi" w:cstheme="majorBidi"/>
      <w:b/>
      <w:bCs/>
      <w:color w:val="808080"/>
    </w:rPr>
  </w:style>
  <w:style w:type="character" w:styleId="af0">
    <w:name w:val="Subtle Emphasis"/>
    <w:uiPriority w:val="99"/>
    <w:semiHidden/>
    <w:qFormat/>
    <w:rsid w:val="00014566"/>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a2"/>
    <w:uiPriority w:val="18"/>
    <w:qFormat/>
    <w:rsid w:val="00014566"/>
    <w:pPr>
      <w:keepNext/>
      <w:keepLines/>
      <w:spacing w:before="720" w:after="240"/>
      <w:outlineLvl w:val="0"/>
    </w:pPr>
    <w:rPr>
      <w:rFonts w:asciiTheme="majorHAnsi" w:hAnsiTheme="majorHAnsi"/>
      <w:sz w:val="28"/>
    </w:rPr>
  </w:style>
  <w:style w:type="character" w:styleId="af1">
    <w:name w:val="Emphasis"/>
    <w:uiPriority w:val="99"/>
    <w:semiHidden/>
    <w:qFormat/>
    <w:rsid w:val="00014566"/>
    <w:rPr>
      <w:b/>
      <w:bCs/>
      <w:i/>
      <w:iCs/>
      <w:spacing w:val="10"/>
      <w:bdr w:val="none" w:sz="0" w:space="0" w:color="auto"/>
      <w:shd w:val="clear" w:color="auto" w:fill="auto"/>
    </w:rPr>
  </w:style>
  <w:style w:type="paragraph" w:styleId="af2">
    <w:name w:val="footer"/>
    <w:basedOn w:val="a2"/>
    <w:link w:val="af3"/>
    <w:uiPriority w:val="57"/>
    <w:semiHidden/>
    <w:rsid w:val="00941747"/>
    <w:pPr>
      <w:tabs>
        <w:tab w:val="center" w:pos="4536"/>
        <w:tab w:val="right" w:pos="9696"/>
      </w:tabs>
      <w:ind w:left="-680" w:right="-680"/>
    </w:pPr>
  </w:style>
  <w:style w:type="character" w:customStyle="1" w:styleId="af3">
    <w:name w:val="Нижний колонтитул Знак"/>
    <w:basedOn w:val="a3"/>
    <w:link w:val="af2"/>
    <w:uiPriority w:val="57"/>
    <w:semiHidden/>
    <w:rsid w:val="008D4752"/>
  </w:style>
  <w:style w:type="character" w:styleId="af4">
    <w:name w:val="footnote reference"/>
    <w:basedOn w:val="a3"/>
    <w:uiPriority w:val="99"/>
    <w:semiHidden/>
    <w:rsid w:val="00941747"/>
    <w:rPr>
      <w:vertAlign w:val="superscript"/>
    </w:rPr>
  </w:style>
  <w:style w:type="paragraph" w:styleId="af5">
    <w:name w:val="footnote text"/>
    <w:basedOn w:val="a2"/>
    <w:link w:val="af6"/>
    <w:uiPriority w:val="99"/>
    <w:semiHidden/>
    <w:rsid w:val="00941747"/>
    <w:rPr>
      <w:sz w:val="20"/>
      <w:szCs w:val="20"/>
    </w:rPr>
  </w:style>
  <w:style w:type="character" w:customStyle="1" w:styleId="af6">
    <w:name w:val="Текст сноски Знак"/>
    <w:basedOn w:val="a3"/>
    <w:link w:val="af5"/>
    <w:uiPriority w:val="99"/>
    <w:semiHidden/>
    <w:rsid w:val="00A671F8"/>
    <w:rPr>
      <w:rFonts w:eastAsiaTheme="minorEastAsia"/>
      <w:sz w:val="20"/>
      <w:szCs w:val="20"/>
    </w:rPr>
  </w:style>
  <w:style w:type="character" w:customStyle="1" w:styleId="60">
    <w:name w:val="Заголовок 6 Знак"/>
    <w:basedOn w:val="a3"/>
    <w:link w:val="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70">
    <w:name w:val="Заголовок 7 Знак"/>
    <w:basedOn w:val="a3"/>
    <w:link w:val="7"/>
    <w:uiPriority w:val="99"/>
    <w:semiHidden/>
    <w:rsid w:val="00014566"/>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014566"/>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014566"/>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941747"/>
    <w:rPr>
      <w:color w:val="0072BC" w:themeColor="hyperlink"/>
      <w:u w:val="single"/>
    </w:rPr>
  </w:style>
  <w:style w:type="character" w:styleId="af8">
    <w:name w:val="Intense Emphasis"/>
    <w:uiPriority w:val="99"/>
    <w:semiHidden/>
    <w:qFormat/>
    <w:rsid w:val="00014566"/>
    <w:rPr>
      <w:b/>
      <w:bCs/>
    </w:rPr>
  </w:style>
  <w:style w:type="paragraph" w:styleId="af9">
    <w:name w:val="Intense Quote"/>
    <w:basedOn w:val="a2"/>
    <w:next w:val="a2"/>
    <w:link w:val="afa"/>
    <w:uiPriority w:val="99"/>
    <w:semiHidden/>
    <w:qFormat/>
    <w:rsid w:val="00014566"/>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014566"/>
    <w:rPr>
      <w:rFonts w:eastAsiaTheme="minorEastAsia"/>
      <w:b/>
      <w:bCs/>
      <w:i/>
      <w:iCs/>
      <w:lang w:bidi="en-US"/>
    </w:rPr>
  </w:style>
  <w:style w:type="character" w:styleId="afb">
    <w:name w:val="Intense Reference"/>
    <w:uiPriority w:val="99"/>
    <w:semiHidden/>
    <w:qFormat/>
    <w:rsid w:val="00014566"/>
    <w:rPr>
      <w:smallCaps/>
      <w:spacing w:val="5"/>
      <w:u w:val="single"/>
    </w:rPr>
  </w:style>
  <w:style w:type="paragraph" w:styleId="afc">
    <w:name w:val="List Paragraph"/>
    <w:basedOn w:val="a2"/>
    <w:uiPriority w:val="99"/>
    <w:semiHidden/>
    <w:qFormat/>
    <w:rsid w:val="00014566"/>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014566"/>
    <w:pPr>
      <w:spacing w:before="200"/>
      <w:ind w:left="360" w:right="360"/>
    </w:pPr>
    <w:rPr>
      <w:i/>
      <w:iCs/>
      <w:sz w:val="22"/>
      <w:lang w:bidi="en-US"/>
    </w:rPr>
  </w:style>
  <w:style w:type="character" w:customStyle="1" w:styleId="24">
    <w:name w:val="Цитата 2 Знак"/>
    <w:basedOn w:val="a3"/>
    <w:link w:val="23"/>
    <w:uiPriority w:val="99"/>
    <w:semiHidden/>
    <w:rsid w:val="00014566"/>
    <w:rPr>
      <w:rFonts w:eastAsiaTheme="minorEastAsia"/>
      <w:i/>
      <w:iCs/>
      <w:lang w:bidi="en-US"/>
    </w:rPr>
  </w:style>
  <w:style w:type="character" w:styleId="afd">
    <w:name w:val="Subtle Reference"/>
    <w:uiPriority w:val="99"/>
    <w:semiHidden/>
    <w:qFormat/>
    <w:rsid w:val="00014566"/>
    <w:rPr>
      <w:smallCaps/>
    </w:rPr>
  </w:style>
  <w:style w:type="table" w:styleId="afe">
    <w:name w:val="Table Grid"/>
    <w:basedOn w:val="a4"/>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EA185E"/>
    <w:pPr>
      <w:spacing w:before="120" w:after="60"/>
      <w:ind w:left="340" w:right="340" w:hanging="340"/>
    </w:pPr>
    <w:rPr>
      <w:color w:val="0D0D0D" w:themeColor="text1" w:themeTint="F2"/>
    </w:rPr>
  </w:style>
  <w:style w:type="paragraph" w:styleId="25">
    <w:name w:val="toc 2"/>
    <w:basedOn w:val="a2"/>
    <w:next w:val="a2"/>
    <w:autoRedefine/>
    <w:uiPriority w:val="99"/>
    <w:semiHidden/>
    <w:rsid w:val="00EA185E"/>
    <w:pPr>
      <w:spacing w:after="60"/>
      <w:ind w:left="680" w:right="340" w:hanging="340"/>
    </w:pPr>
  </w:style>
  <w:style w:type="paragraph" w:styleId="33">
    <w:name w:val="toc 3"/>
    <w:basedOn w:val="a2"/>
    <w:next w:val="a2"/>
    <w:autoRedefine/>
    <w:uiPriority w:val="99"/>
    <w:semiHidden/>
    <w:rsid w:val="00EA185E"/>
    <w:pPr>
      <w:spacing w:after="60"/>
      <w:ind w:left="1020" w:right="340" w:hanging="340"/>
    </w:pPr>
  </w:style>
  <w:style w:type="paragraph" w:styleId="43">
    <w:name w:val="toc 4"/>
    <w:basedOn w:val="a2"/>
    <w:next w:val="a2"/>
    <w:autoRedefine/>
    <w:uiPriority w:val="99"/>
    <w:semiHidden/>
    <w:rsid w:val="00EA185E"/>
    <w:pPr>
      <w:tabs>
        <w:tab w:val="right" w:leader="dot" w:pos="9017"/>
      </w:tabs>
      <w:spacing w:after="60"/>
      <w:ind w:left="1361" w:right="340" w:hanging="340"/>
    </w:pPr>
  </w:style>
  <w:style w:type="paragraph" w:styleId="53">
    <w:name w:val="toc 5"/>
    <w:basedOn w:val="a2"/>
    <w:next w:val="a2"/>
    <w:autoRedefine/>
    <w:uiPriority w:val="99"/>
    <w:semiHidden/>
    <w:rsid w:val="00B46543"/>
    <w:pPr>
      <w:spacing w:after="60"/>
      <w:ind w:left="1701" w:right="340" w:hanging="340"/>
    </w:pPr>
  </w:style>
  <w:style w:type="paragraph" w:styleId="aff">
    <w:name w:val="TOC Heading"/>
    <w:basedOn w:val="1"/>
    <w:next w:val="a2"/>
    <w:uiPriority w:val="99"/>
    <w:semiHidden/>
    <w:qFormat/>
    <w:rsid w:val="00014566"/>
    <w:pPr>
      <w:numPr>
        <w:numId w:val="0"/>
      </w:numPr>
      <w:jc w:val="both"/>
      <w:outlineLvl w:val="9"/>
    </w:pPr>
    <w:rPr>
      <w:color w:val="474747" w:themeColor="accent3" w:themeShade="BF"/>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qFormat/>
    <w:rsid w:val="00014566"/>
    <w:pPr>
      <w:spacing w:before="120" w:after="120"/>
      <w:ind w:left="425" w:firstLine="142"/>
    </w:pPr>
    <w:rPr>
      <w:sz w:val="20"/>
    </w:rPr>
  </w:style>
  <w:style w:type="paragraph" w:customStyle="1" w:styleId="ECHRPara">
    <w:name w:val="ECHR_Para"/>
    <w:aliases w:val="Ju_Para,Para"/>
    <w:basedOn w:val="a2"/>
    <w:link w:val="JuParaCar"/>
    <w:uiPriority w:val="12"/>
    <w:qFormat/>
    <w:rsid w:val="00C621C2"/>
    <w:pPr>
      <w:ind w:firstLine="284"/>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DF0549"/>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C621C2"/>
    <w:pPr>
      <w:ind w:left="340" w:hanging="340"/>
    </w:pPr>
  </w:style>
  <w:style w:type="paragraph" w:customStyle="1" w:styleId="JuSigned">
    <w:name w:val="Ju_Signed"/>
    <w:basedOn w:val="a2"/>
    <w:next w:val="JuParaLast"/>
    <w:uiPriority w:val="32"/>
    <w:qFormat/>
    <w:rsid w:val="00C621C2"/>
    <w:pPr>
      <w:tabs>
        <w:tab w:val="center" w:pos="851"/>
        <w:tab w:val="center" w:pos="6407"/>
      </w:tabs>
      <w:spacing w:before="720"/>
      <w:jc w:val="left"/>
    </w:pPr>
  </w:style>
  <w:style w:type="paragraph" w:customStyle="1" w:styleId="JuParaLast">
    <w:name w:val="Ju_Para_Last"/>
    <w:basedOn w:val="a2"/>
    <w:next w:val="a2"/>
    <w:uiPriority w:val="30"/>
    <w:qFormat/>
    <w:rsid w:val="00014566"/>
    <w:pPr>
      <w:keepNext/>
      <w:keepLines/>
      <w:spacing w:before="240"/>
      <w:ind w:firstLine="284"/>
    </w:pPr>
  </w:style>
  <w:style w:type="paragraph" w:customStyle="1" w:styleId="JuCourt">
    <w:name w:val="Ju_Court"/>
    <w:basedOn w:val="a2"/>
    <w:next w:val="a2"/>
    <w:uiPriority w:val="16"/>
    <w:qFormat/>
    <w:rsid w:val="00014566"/>
    <w:pPr>
      <w:tabs>
        <w:tab w:val="left" w:pos="907"/>
        <w:tab w:val="left" w:pos="1701"/>
        <w:tab w:val="right" w:pos="7371"/>
      </w:tabs>
      <w:spacing w:before="240"/>
      <w:ind w:left="397" w:hanging="397"/>
      <w:jc w:val="left"/>
    </w:pPr>
    <w:rPr>
      <w:lang w:bidi="en-US"/>
    </w:rPr>
  </w:style>
  <w:style w:type="character" w:styleId="aff1">
    <w:name w:val="page number"/>
    <w:uiPriority w:val="99"/>
    <w:semiHidden/>
    <w:rsid w:val="00014566"/>
    <w:rPr>
      <w:sz w:val="18"/>
    </w:rPr>
  </w:style>
  <w:style w:type="paragraph" w:customStyle="1" w:styleId="JuLista">
    <w:name w:val="Ju_List_a"/>
    <w:basedOn w:val="a2"/>
    <w:uiPriority w:val="28"/>
    <w:qFormat/>
    <w:rsid w:val="00C621C2"/>
    <w:pPr>
      <w:ind w:left="346"/>
    </w:pPr>
  </w:style>
  <w:style w:type="paragraph" w:customStyle="1" w:styleId="JuListi">
    <w:name w:val="Ju_List_i"/>
    <w:basedOn w:val="a2"/>
    <w:next w:val="JuLista"/>
    <w:uiPriority w:val="28"/>
    <w:qFormat/>
    <w:rsid w:val="00014566"/>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a0">
    <w:name w:val="List Bullet"/>
    <w:basedOn w:val="a2"/>
    <w:uiPriority w:val="99"/>
    <w:semiHidden/>
    <w:rsid w:val="00014566"/>
    <w:pPr>
      <w:numPr>
        <w:numId w:val="8"/>
      </w:numPr>
    </w:pPr>
  </w:style>
  <w:style w:type="character" w:customStyle="1" w:styleId="JuITMark">
    <w:name w:val="Ju_ITMark"/>
    <w:basedOn w:val="a3"/>
    <w:uiPriority w:val="38"/>
    <w:qFormat/>
    <w:rsid w:val="00014566"/>
    <w:rPr>
      <w:vanish w:val="0"/>
      <w:color w:val="auto"/>
      <w:sz w:val="14"/>
    </w:rPr>
  </w:style>
  <w:style w:type="paragraph" w:styleId="affd">
    <w:name w:val="Subtitle"/>
    <w:basedOn w:val="a2"/>
    <w:next w:val="a2"/>
    <w:link w:val="affe"/>
    <w:uiPriority w:val="99"/>
    <w:semiHidden/>
    <w:qFormat/>
    <w:rsid w:val="00014566"/>
    <w:pPr>
      <w:spacing w:after="600"/>
    </w:pPr>
    <w:rPr>
      <w:rFonts w:asciiTheme="majorHAnsi" w:eastAsiaTheme="majorEastAsia" w:hAnsiTheme="majorHAnsi" w:cstheme="majorBidi"/>
      <w:i/>
      <w:iCs/>
      <w:spacing w:val="13"/>
      <w:szCs w:val="24"/>
      <w:lang w:bidi="en-US"/>
    </w:rPr>
  </w:style>
  <w:style w:type="character" w:customStyle="1" w:styleId="affe">
    <w:name w:val="Подзаголовок Знак"/>
    <w:basedOn w:val="a3"/>
    <w:link w:val="affd"/>
    <w:uiPriority w:val="99"/>
    <w:semiHidden/>
    <w:rsid w:val="00014566"/>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9"/>
      </w:numPr>
    </w:pPr>
  </w:style>
  <w:style w:type="numbering" w:styleId="1ai">
    <w:name w:val="Outline List 1"/>
    <w:basedOn w:val="a5"/>
    <w:uiPriority w:val="99"/>
    <w:semiHidden/>
    <w:rsid w:val="00014566"/>
    <w:pPr>
      <w:numPr>
        <w:numId w:val="10"/>
      </w:numPr>
    </w:pPr>
  </w:style>
  <w:style w:type="numbering" w:styleId="a1">
    <w:name w:val="Outline List 3"/>
    <w:basedOn w:val="a5"/>
    <w:uiPriority w:val="99"/>
    <w:semiHidden/>
    <w:rsid w:val="00014566"/>
    <w:pPr>
      <w:numPr>
        <w:numId w:val="11"/>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12"/>
      </w:numPr>
      <w:contextualSpacing/>
    </w:pPr>
  </w:style>
  <w:style w:type="paragraph" w:styleId="30">
    <w:name w:val="List Bullet 3"/>
    <w:basedOn w:val="a2"/>
    <w:uiPriority w:val="99"/>
    <w:semiHidden/>
    <w:rsid w:val="00014566"/>
    <w:pPr>
      <w:numPr>
        <w:numId w:val="13"/>
      </w:numPr>
      <w:contextualSpacing/>
    </w:pPr>
  </w:style>
  <w:style w:type="paragraph" w:styleId="40">
    <w:name w:val="List Bullet 4"/>
    <w:basedOn w:val="a2"/>
    <w:uiPriority w:val="99"/>
    <w:semiHidden/>
    <w:rsid w:val="00014566"/>
    <w:pPr>
      <w:numPr>
        <w:numId w:val="14"/>
      </w:numPr>
      <w:contextualSpacing/>
    </w:pPr>
  </w:style>
  <w:style w:type="paragraph" w:styleId="50">
    <w:name w:val="List Bullet 5"/>
    <w:basedOn w:val="a2"/>
    <w:uiPriority w:val="99"/>
    <w:semiHidden/>
    <w:rsid w:val="00014566"/>
    <w:pPr>
      <w:numPr>
        <w:numId w:val="15"/>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16"/>
      </w:numPr>
      <w:contextualSpacing/>
    </w:pPr>
  </w:style>
  <w:style w:type="paragraph" w:styleId="2">
    <w:name w:val="List Number 2"/>
    <w:basedOn w:val="a2"/>
    <w:uiPriority w:val="99"/>
    <w:semiHidden/>
    <w:rsid w:val="00014566"/>
    <w:pPr>
      <w:numPr>
        <w:numId w:val="17"/>
      </w:numPr>
      <w:contextualSpacing/>
    </w:pPr>
  </w:style>
  <w:style w:type="paragraph" w:styleId="3">
    <w:name w:val="List Number 3"/>
    <w:basedOn w:val="a2"/>
    <w:uiPriority w:val="99"/>
    <w:semiHidden/>
    <w:rsid w:val="00014566"/>
    <w:pPr>
      <w:numPr>
        <w:numId w:val="18"/>
      </w:numPr>
      <w:contextualSpacing/>
    </w:pPr>
  </w:style>
  <w:style w:type="paragraph" w:styleId="4">
    <w:name w:val="List Number 4"/>
    <w:basedOn w:val="a2"/>
    <w:uiPriority w:val="99"/>
    <w:semiHidden/>
    <w:rsid w:val="00014566"/>
    <w:pPr>
      <w:numPr>
        <w:numId w:val="19"/>
      </w:numPr>
      <w:contextualSpacing/>
    </w:pPr>
  </w:style>
  <w:style w:type="paragraph" w:styleId="5">
    <w:name w:val="List Number 5"/>
    <w:basedOn w:val="a2"/>
    <w:uiPriority w:val="99"/>
    <w:semiHidden/>
    <w:rsid w:val="00014566"/>
    <w:pPr>
      <w:numPr>
        <w:numId w:val="20"/>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14566"/>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JuTitle">
    <w:name w:val="Ju_Title"/>
    <w:basedOn w:val="a2"/>
    <w:next w:val="ECHRPara"/>
    <w:uiPriority w:val="3"/>
    <w:qFormat/>
    <w:rsid w:val="00DC77AA"/>
    <w:pPr>
      <w:spacing w:before="720" w:after="240"/>
      <w:jc w:val="center"/>
      <w:outlineLvl w:val="0"/>
    </w:pPr>
    <w:rPr>
      <w:rFonts w:asciiTheme="majorHAnsi" w:hAnsiTheme="majorHAnsi"/>
      <w:b/>
      <w:caps/>
    </w:rPr>
  </w:style>
  <w:style w:type="character" w:customStyle="1" w:styleId="JuParaCar">
    <w:name w:val="Ju_Para Car"/>
    <w:link w:val="ECHRPara"/>
    <w:uiPriority w:val="12"/>
    <w:rsid w:val="00113C2B"/>
    <w:rPr>
      <w:rFonts w:eastAsiaTheme="minorEastAsia"/>
      <w:sz w:val="24"/>
    </w:rPr>
  </w:style>
  <w:style w:type="character" w:customStyle="1" w:styleId="ECHRParaChar">
    <w:name w:val="ECHR_Para Char"/>
    <w:aliases w:val="Ju_Para Char"/>
    <w:uiPriority w:val="12"/>
    <w:rsid w:val="00823470"/>
    <w:rPr>
      <w:rFonts w:eastAsiaTheme="minorEastAsia"/>
      <w:sz w:val="24"/>
    </w:rPr>
  </w:style>
  <w:style w:type="paragraph" w:styleId="affffff">
    <w:name w:val="Revision"/>
    <w:hidden/>
    <w:uiPriority w:val="99"/>
    <w:semiHidden/>
    <w:rsid w:val="00CB5FAE"/>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3040">
      <w:bodyDiv w:val="1"/>
      <w:marLeft w:val="0"/>
      <w:marRight w:val="0"/>
      <w:marTop w:val="0"/>
      <w:marBottom w:val="0"/>
      <w:divBdr>
        <w:top w:val="none" w:sz="0" w:space="0" w:color="auto"/>
        <w:left w:val="none" w:sz="0" w:space="0" w:color="auto"/>
        <w:bottom w:val="none" w:sz="0" w:space="0" w:color="auto"/>
        <w:right w:val="none" w:sz="0" w:space="0" w:color="auto"/>
      </w:divBdr>
      <w:divsChild>
        <w:div w:id="1134174551">
          <w:marLeft w:val="0"/>
          <w:marRight w:val="0"/>
          <w:marTop w:val="0"/>
          <w:marBottom w:val="0"/>
          <w:divBdr>
            <w:top w:val="none" w:sz="0" w:space="0" w:color="auto"/>
            <w:left w:val="none" w:sz="0" w:space="0" w:color="auto"/>
            <w:bottom w:val="none" w:sz="0" w:space="0" w:color="auto"/>
            <w:right w:val="none" w:sz="0" w:space="0" w:color="auto"/>
          </w:divBdr>
          <w:divsChild>
            <w:div w:id="229655905">
              <w:marLeft w:val="0"/>
              <w:marRight w:val="0"/>
              <w:marTop w:val="0"/>
              <w:marBottom w:val="0"/>
              <w:divBdr>
                <w:top w:val="none" w:sz="0" w:space="0" w:color="auto"/>
                <w:left w:val="none" w:sz="0" w:space="0" w:color="auto"/>
                <w:bottom w:val="none" w:sz="0" w:space="0" w:color="auto"/>
                <w:right w:val="none" w:sz="0" w:space="0" w:color="auto"/>
              </w:divBdr>
              <w:divsChild>
                <w:div w:id="1909613735">
                  <w:marLeft w:val="0"/>
                  <w:marRight w:val="0"/>
                  <w:marTop w:val="0"/>
                  <w:marBottom w:val="0"/>
                  <w:divBdr>
                    <w:top w:val="none" w:sz="0" w:space="0" w:color="auto"/>
                    <w:left w:val="none" w:sz="0" w:space="0" w:color="auto"/>
                    <w:bottom w:val="none" w:sz="0" w:space="0" w:color="auto"/>
                    <w:right w:val="none" w:sz="0" w:space="0" w:color="auto"/>
                  </w:divBdr>
                  <w:divsChild>
                    <w:div w:id="2093815292">
                      <w:marLeft w:val="0"/>
                      <w:marRight w:val="0"/>
                      <w:marTop w:val="0"/>
                      <w:marBottom w:val="0"/>
                      <w:divBdr>
                        <w:top w:val="none" w:sz="0" w:space="0" w:color="auto"/>
                        <w:left w:val="none" w:sz="0" w:space="0" w:color="auto"/>
                        <w:bottom w:val="none" w:sz="0" w:space="0" w:color="auto"/>
                        <w:right w:val="none" w:sz="0" w:space="0" w:color="auto"/>
                      </w:divBdr>
                      <w:divsChild>
                        <w:div w:id="252399398">
                          <w:marLeft w:val="0"/>
                          <w:marRight w:val="0"/>
                          <w:marTop w:val="0"/>
                          <w:marBottom w:val="0"/>
                          <w:divBdr>
                            <w:top w:val="none" w:sz="0" w:space="0" w:color="auto"/>
                            <w:left w:val="none" w:sz="0" w:space="0" w:color="auto"/>
                            <w:bottom w:val="none" w:sz="0" w:space="0" w:color="auto"/>
                            <w:right w:val="none" w:sz="0" w:space="0" w:color="auto"/>
                          </w:divBdr>
                          <w:divsChild>
                            <w:div w:id="16642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620530">
      <w:bodyDiv w:val="1"/>
      <w:marLeft w:val="0"/>
      <w:marRight w:val="0"/>
      <w:marTop w:val="0"/>
      <w:marBottom w:val="0"/>
      <w:divBdr>
        <w:top w:val="none" w:sz="0" w:space="0" w:color="auto"/>
        <w:left w:val="none" w:sz="0" w:space="0" w:color="auto"/>
        <w:bottom w:val="none" w:sz="0" w:space="0" w:color="auto"/>
        <w:right w:val="none" w:sz="0" w:space="0" w:color="auto"/>
      </w:divBdr>
      <w:divsChild>
        <w:div w:id="1882787598">
          <w:marLeft w:val="0"/>
          <w:marRight w:val="0"/>
          <w:marTop w:val="0"/>
          <w:marBottom w:val="0"/>
          <w:divBdr>
            <w:top w:val="none" w:sz="0" w:space="0" w:color="auto"/>
            <w:left w:val="none" w:sz="0" w:space="0" w:color="auto"/>
            <w:bottom w:val="none" w:sz="0" w:space="0" w:color="auto"/>
            <w:right w:val="none" w:sz="0" w:space="0" w:color="auto"/>
          </w:divBdr>
          <w:divsChild>
            <w:div w:id="1286035101">
              <w:marLeft w:val="0"/>
              <w:marRight w:val="0"/>
              <w:marTop w:val="0"/>
              <w:marBottom w:val="0"/>
              <w:divBdr>
                <w:top w:val="none" w:sz="0" w:space="0" w:color="auto"/>
                <w:left w:val="none" w:sz="0" w:space="0" w:color="auto"/>
                <w:bottom w:val="none" w:sz="0" w:space="0" w:color="auto"/>
                <w:right w:val="none" w:sz="0" w:space="0" w:color="auto"/>
              </w:divBdr>
              <w:divsChild>
                <w:div w:id="43456045">
                  <w:marLeft w:val="0"/>
                  <w:marRight w:val="0"/>
                  <w:marTop w:val="0"/>
                  <w:marBottom w:val="0"/>
                  <w:divBdr>
                    <w:top w:val="none" w:sz="0" w:space="0" w:color="auto"/>
                    <w:left w:val="none" w:sz="0" w:space="0" w:color="auto"/>
                    <w:bottom w:val="none" w:sz="0" w:space="0" w:color="auto"/>
                    <w:right w:val="none" w:sz="0" w:space="0" w:color="auto"/>
                  </w:divBdr>
                  <w:divsChild>
                    <w:div w:id="1515342303">
                      <w:marLeft w:val="0"/>
                      <w:marRight w:val="0"/>
                      <w:marTop w:val="0"/>
                      <w:marBottom w:val="0"/>
                      <w:divBdr>
                        <w:top w:val="none" w:sz="0" w:space="0" w:color="auto"/>
                        <w:left w:val="none" w:sz="0" w:space="0" w:color="auto"/>
                        <w:bottom w:val="none" w:sz="0" w:space="0" w:color="auto"/>
                        <w:right w:val="none" w:sz="0" w:space="0" w:color="auto"/>
                      </w:divBdr>
                      <w:divsChild>
                        <w:div w:id="504902608">
                          <w:marLeft w:val="0"/>
                          <w:marRight w:val="0"/>
                          <w:marTop w:val="0"/>
                          <w:marBottom w:val="0"/>
                          <w:divBdr>
                            <w:top w:val="none" w:sz="0" w:space="0" w:color="auto"/>
                            <w:left w:val="none" w:sz="0" w:space="0" w:color="auto"/>
                            <w:bottom w:val="none" w:sz="0" w:space="0" w:color="auto"/>
                            <w:right w:val="none" w:sz="0" w:space="0" w:color="auto"/>
                          </w:divBdr>
                          <w:divsChild>
                            <w:div w:id="9602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05482">
      <w:bodyDiv w:val="1"/>
      <w:marLeft w:val="0"/>
      <w:marRight w:val="0"/>
      <w:marTop w:val="0"/>
      <w:marBottom w:val="0"/>
      <w:divBdr>
        <w:top w:val="none" w:sz="0" w:space="0" w:color="auto"/>
        <w:left w:val="none" w:sz="0" w:space="0" w:color="auto"/>
        <w:bottom w:val="none" w:sz="0" w:space="0" w:color="auto"/>
        <w:right w:val="none" w:sz="0" w:space="0" w:color="auto"/>
      </w:divBdr>
      <w:divsChild>
        <w:div w:id="329335833">
          <w:marLeft w:val="0"/>
          <w:marRight w:val="0"/>
          <w:marTop w:val="0"/>
          <w:marBottom w:val="0"/>
          <w:divBdr>
            <w:top w:val="none" w:sz="0" w:space="0" w:color="auto"/>
            <w:left w:val="none" w:sz="0" w:space="0" w:color="auto"/>
            <w:bottom w:val="none" w:sz="0" w:space="0" w:color="auto"/>
            <w:right w:val="none" w:sz="0" w:space="0" w:color="auto"/>
          </w:divBdr>
          <w:divsChild>
            <w:div w:id="416753827">
              <w:marLeft w:val="0"/>
              <w:marRight w:val="0"/>
              <w:marTop w:val="0"/>
              <w:marBottom w:val="0"/>
              <w:divBdr>
                <w:top w:val="none" w:sz="0" w:space="0" w:color="auto"/>
                <w:left w:val="none" w:sz="0" w:space="0" w:color="auto"/>
                <w:bottom w:val="none" w:sz="0" w:space="0" w:color="auto"/>
                <w:right w:val="none" w:sz="0" w:space="0" w:color="auto"/>
              </w:divBdr>
              <w:divsChild>
                <w:div w:id="1065834783">
                  <w:marLeft w:val="0"/>
                  <w:marRight w:val="0"/>
                  <w:marTop w:val="0"/>
                  <w:marBottom w:val="0"/>
                  <w:divBdr>
                    <w:top w:val="none" w:sz="0" w:space="0" w:color="auto"/>
                    <w:left w:val="none" w:sz="0" w:space="0" w:color="auto"/>
                    <w:bottom w:val="none" w:sz="0" w:space="0" w:color="auto"/>
                    <w:right w:val="none" w:sz="0" w:space="0" w:color="auto"/>
                  </w:divBdr>
                  <w:divsChild>
                    <w:div w:id="1049186635">
                      <w:marLeft w:val="0"/>
                      <w:marRight w:val="0"/>
                      <w:marTop w:val="0"/>
                      <w:marBottom w:val="0"/>
                      <w:divBdr>
                        <w:top w:val="none" w:sz="0" w:space="0" w:color="auto"/>
                        <w:left w:val="none" w:sz="0" w:space="0" w:color="auto"/>
                        <w:bottom w:val="none" w:sz="0" w:space="0" w:color="auto"/>
                        <w:right w:val="none" w:sz="0" w:space="0" w:color="auto"/>
                      </w:divBdr>
                      <w:divsChild>
                        <w:div w:id="812984117">
                          <w:marLeft w:val="0"/>
                          <w:marRight w:val="0"/>
                          <w:marTop w:val="0"/>
                          <w:marBottom w:val="0"/>
                          <w:divBdr>
                            <w:top w:val="none" w:sz="0" w:space="0" w:color="auto"/>
                            <w:left w:val="none" w:sz="0" w:space="0" w:color="auto"/>
                            <w:bottom w:val="none" w:sz="0" w:space="0" w:color="auto"/>
                            <w:right w:val="none" w:sz="0" w:space="0" w:color="auto"/>
                          </w:divBdr>
                          <w:divsChild>
                            <w:div w:id="316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567915">
      <w:bodyDiv w:val="1"/>
      <w:marLeft w:val="0"/>
      <w:marRight w:val="0"/>
      <w:marTop w:val="0"/>
      <w:marBottom w:val="0"/>
      <w:divBdr>
        <w:top w:val="none" w:sz="0" w:space="0" w:color="auto"/>
        <w:left w:val="none" w:sz="0" w:space="0" w:color="auto"/>
        <w:bottom w:val="none" w:sz="0" w:space="0" w:color="auto"/>
        <w:right w:val="none" w:sz="0" w:space="0" w:color="auto"/>
      </w:divBdr>
      <w:divsChild>
        <w:div w:id="1703163948">
          <w:marLeft w:val="0"/>
          <w:marRight w:val="0"/>
          <w:marTop w:val="0"/>
          <w:marBottom w:val="0"/>
          <w:divBdr>
            <w:top w:val="none" w:sz="0" w:space="0" w:color="auto"/>
            <w:left w:val="none" w:sz="0" w:space="0" w:color="auto"/>
            <w:bottom w:val="none" w:sz="0" w:space="0" w:color="auto"/>
            <w:right w:val="none" w:sz="0" w:space="0" w:color="auto"/>
          </w:divBdr>
          <w:divsChild>
            <w:div w:id="1731421644">
              <w:marLeft w:val="0"/>
              <w:marRight w:val="0"/>
              <w:marTop w:val="0"/>
              <w:marBottom w:val="0"/>
              <w:divBdr>
                <w:top w:val="none" w:sz="0" w:space="0" w:color="auto"/>
                <w:left w:val="none" w:sz="0" w:space="0" w:color="auto"/>
                <w:bottom w:val="none" w:sz="0" w:space="0" w:color="auto"/>
                <w:right w:val="none" w:sz="0" w:space="0" w:color="auto"/>
              </w:divBdr>
              <w:divsChild>
                <w:div w:id="510878773">
                  <w:marLeft w:val="0"/>
                  <w:marRight w:val="0"/>
                  <w:marTop w:val="0"/>
                  <w:marBottom w:val="0"/>
                  <w:divBdr>
                    <w:top w:val="none" w:sz="0" w:space="0" w:color="auto"/>
                    <w:left w:val="none" w:sz="0" w:space="0" w:color="auto"/>
                    <w:bottom w:val="none" w:sz="0" w:space="0" w:color="auto"/>
                    <w:right w:val="none" w:sz="0" w:space="0" w:color="auto"/>
                  </w:divBdr>
                  <w:divsChild>
                    <w:div w:id="1107849938">
                      <w:marLeft w:val="0"/>
                      <w:marRight w:val="0"/>
                      <w:marTop w:val="0"/>
                      <w:marBottom w:val="0"/>
                      <w:divBdr>
                        <w:top w:val="none" w:sz="0" w:space="0" w:color="auto"/>
                        <w:left w:val="none" w:sz="0" w:space="0" w:color="auto"/>
                        <w:bottom w:val="none" w:sz="0" w:space="0" w:color="auto"/>
                        <w:right w:val="none" w:sz="0" w:space="0" w:color="auto"/>
                      </w:divBdr>
                      <w:divsChild>
                        <w:div w:id="77677404">
                          <w:marLeft w:val="0"/>
                          <w:marRight w:val="0"/>
                          <w:marTop w:val="0"/>
                          <w:marBottom w:val="0"/>
                          <w:divBdr>
                            <w:top w:val="none" w:sz="0" w:space="0" w:color="auto"/>
                            <w:left w:val="none" w:sz="0" w:space="0" w:color="auto"/>
                            <w:bottom w:val="none" w:sz="0" w:space="0" w:color="auto"/>
                            <w:right w:val="none" w:sz="0" w:space="0" w:color="auto"/>
                          </w:divBdr>
                          <w:divsChild>
                            <w:div w:id="10444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0847">
      <w:bodyDiv w:val="1"/>
      <w:marLeft w:val="0"/>
      <w:marRight w:val="0"/>
      <w:marTop w:val="0"/>
      <w:marBottom w:val="0"/>
      <w:divBdr>
        <w:top w:val="none" w:sz="0" w:space="0" w:color="auto"/>
        <w:left w:val="none" w:sz="0" w:space="0" w:color="auto"/>
        <w:bottom w:val="none" w:sz="0" w:space="0" w:color="auto"/>
        <w:right w:val="none" w:sz="0" w:space="0" w:color="auto"/>
      </w:divBdr>
      <w:divsChild>
        <w:div w:id="2071612992">
          <w:marLeft w:val="0"/>
          <w:marRight w:val="0"/>
          <w:marTop w:val="0"/>
          <w:marBottom w:val="0"/>
          <w:divBdr>
            <w:top w:val="none" w:sz="0" w:space="0" w:color="auto"/>
            <w:left w:val="none" w:sz="0" w:space="0" w:color="auto"/>
            <w:bottom w:val="none" w:sz="0" w:space="0" w:color="auto"/>
            <w:right w:val="none" w:sz="0" w:space="0" w:color="auto"/>
          </w:divBdr>
          <w:divsChild>
            <w:div w:id="1644306924">
              <w:marLeft w:val="0"/>
              <w:marRight w:val="0"/>
              <w:marTop w:val="0"/>
              <w:marBottom w:val="0"/>
              <w:divBdr>
                <w:top w:val="none" w:sz="0" w:space="0" w:color="auto"/>
                <w:left w:val="none" w:sz="0" w:space="0" w:color="auto"/>
                <w:bottom w:val="none" w:sz="0" w:space="0" w:color="auto"/>
                <w:right w:val="none" w:sz="0" w:space="0" w:color="auto"/>
              </w:divBdr>
              <w:divsChild>
                <w:div w:id="887030053">
                  <w:marLeft w:val="0"/>
                  <w:marRight w:val="0"/>
                  <w:marTop w:val="0"/>
                  <w:marBottom w:val="0"/>
                  <w:divBdr>
                    <w:top w:val="none" w:sz="0" w:space="0" w:color="auto"/>
                    <w:left w:val="none" w:sz="0" w:space="0" w:color="auto"/>
                    <w:bottom w:val="none" w:sz="0" w:space="0" w:color="auto"/>
                    <w:right w:val="none" w:sz="0" w:space="0" w:color="auto"/>
                  </w:divBdr>
                  <w:divsChild>
                    <w:div w:id="1437214918">
                      <w:marLeft w:val="0"/>
                      <w:marRight w:val="0"/>
                      <w:marTop w:val="0"/>
                      <w:marBottom w:val="0"/>
                      <w:divBdr>
                        <w:top w:val="none" w:sz="0" w:space="0" w:color="auto"/>
                        <w:left w:val="none" w:sz="0" w:space="0" w:color="auto"/>
                        <w:bottom w:val="none" w:sz="0" w:space="0" w:color="auto"/>
                        <w:right w:val="none" w:sz="0" w:space="0" w:color="auto"/>
                      </w:divBdr>
                      <w:divsChild>
                        <w:div w:id="1962760941">
                          <w:marLeft w:val="0"/>
                          <w:marRight w:val="0"/>
                          <w:marTop w:val="0"/>
                          <w:marBottom w:val="0"/>
                          <w:divBdr>
                            <w:top w:val="none" w:sz="0" w:space="0" w:color="auto"/>
                            <w:left w:val="none" w:sz="0" w:space="0" w:color="auto"/>
                            <w:bottom w:val="none" w:sz="0" w:space="0" w:color="auto"/>
                            <w:right w:val="none" w:sz="0" w:space="0" w:color="auto"/>
                          </w:divBdr>
                          <w:divsChild>
                            <w:div w:id="19695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113511">
      <w:bodyDiv w:val="1"/>
      <w:marLeft w:val="0"/>
      <w:marRight w:val="0"/>
      <w:marTop w:val="0"/>
      <w:marBottom w:val="0"/>
      <w:divBdr>
        <w:top w:val="none" w:sz="0" w:space="0" w:color="auto"/>
        <w:left w:val="none" w:sz="0" w:space="0" w:color="auto"/>
        <w:bottom w:val="none" w:sz="0" w:space="0" w:color="auto"/>
        <w:right w:val="none" w:sz="0" w:space="0" w:color="auto"/>
      </w:divBdr>
      <w:divsChild>
        <w:div w:id="1127703743">
          <w:marLeft w:val="0"/>
          <w:marRight w:val="0"/>
          <w:marTop w:val="0"/>
          <w:marBottom w:val="0"/>
          <w:divBdr>
            <w:top w:val="none" w:sz="0" w:space="0" w:color="auto"/>
            <w:left w:val="none" w:sz="0" w:space="0" w:color="auto"/>
            <w:bottom w:val="none" w:sz="0" w:space="0" w:color="auto"/>
            <w:right w:val="none" w:sz="0" w:space="0" w:color="auto"/>
          </w:divBdr>
          <w:divsChild>
            <w:div w:id="758645802">
              <w:marLeft w:val="0"/>
              <w:marRight w:val="0"/>
              <w:marTop w:val="0"/>
              <w:marBottom w:val="0"/>
              <w:divBdr>
                <w:top w:val="none" w:sz="0" w:space="0" w:color="auto"/>
                <w:left w:val="none" w:sz="0" w:space="0" w:color="auto"/>
                <w:bottom w:val="none" w:sz="0" w:space="0" w:color="auto"/>
                <w:right w:val="none" w:sz="0" w:space="0" w:color="auto"/>
              </w:divBdr>
              <w:divsChild>
                <w:div w:id="938759268">
                  <w:marLeft w:val="0"/>
                  <w:marRight w:val="0"/>
                  <w:marTop w:val="0"/>
                  <w:marBottom w:val="0"/>
                  <w:divBdr>
                    <w:top w:val="none" w:sz="0" w:space="0" w:color="auto"/>
                    <w:left w:val="none" w:sz="0" w:space="0" w:color="auto"/>
                    <w:bottom w:val="none" w:sz="0" w:space="0" w:color="auto"/>
                    <w:right w:val="none" w:sz="0" w:space="0" w:color="auto"/>
                  </w:divBdr>
                  <w:divsChild>
                    <w:div w:id="264192593">
                      <w:marLeft w:val="0"/>
                      <w:marRight w:val="0"/>
                      <w:marTop w:val="0"/>
                      <w:marBottom w:val="0"/>
                      <w:divBdr>
                        <w:top w:val="none" w:sz="0" w:space="0" w:color="auto"/>
                        <w:left w:val="none" w:sz="0" w:space="0" w:color="auto"/>
                        <w:bottom w:val="none" w:sz="0" w:space="0" w:color="auto"/>
                        <w:right w:val="none" w:sz="0" w:space="0" w:color="auto"/>
                      </w:divBdr>
                      <w:divsChild>
                        <w:div w:id="254025163">
                          <w:marLeft w:val="0"/>
                          <w:marRight w:val="0"/>
                          <w:marTop w:val="0"/>
                          <w:marBottom w:val="0"/>
                          <w:divBdr>
                            <w:top w:val="none" w:sz="0" w:space="0" w:color="auto"/>
                            <w:left w:val="none" w:sz="0" w:space="0" w:color="auto"/>
                            <w:bottom w:val="none" w:sz="0" w:space="0" w:color="auto"/>
                            <w:right w:val="none" w:sz="0" w:space="0" w:color="auto"/>
                          </w:divBdr>
                          <w:divsChild>
                            <w:div w:id="4330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7367">
      <w:bodyDiv w:val="1"/>
      <w:marLeft w:val="0"/>
      <w:marRight w:val="0"/>
      <w:marTop w:val="0"/>
      <w:marBottom w:val="0"/>
      <w:divBdr>
        <w:top w:val="none" w:sz="0" w:space="0" w:color="auto"/>
        <w:left w:val="none" w:sz="0" w:space="0" w:color="auto"/>
        <w:bottom w:val="none" w:sz="0" w:space="0" w:color="auto"/>
        <w:right w:val="none" w:sz="0" w:space="0" w:color="auto"/>
      </w:divBdr>
      <w:divsChild>
        <w:div w:id="459809588">
          <w:marLeft w:val="0"/>
          <w:marRight w:val="0"/>
          <w:marTop w:val="0"/>
          <w:marBottom w:val="0"/>
          <w:divBdr>
            <w:top w:val="none" w:sz="0" w:space="0" w:color="auto"/>
            <w:left w:val="none" w:sz="0" w:space="0" w:color="auto"/>
            <w:bottom w:val="none" w:sz="0" w:space="0" w:color="auto"/>
            <w:right w:val="none" w:sz="0" w:space="0" w:color="auto"/>
          </w:divBdr>
          <w:divsChild>
            <w:div w:id="2115859978">
              <w:marLeft w:val="0"/>
              <w:marRight w:val="0"/>
              <w:marTop w:val="0"/>
              <w:marBottom w:val="0"/>
              <w:divBdr>
                <w:top w:val="none" w:sz="0" w:space="0" w:color="auto"/>
                <w:left w:val="none" w:sz="0" w:space="0" w:color="auto"/>
                <w:bottom w:val="none" w:sz="0" w:space="0" w:color="auto"/>
                <w:right w:val="none" w:sz="0" w:space="0" w:color="auto"/>
              </w:divBdr>
              <w:divsChild>
                <w:div w:id="814570913">
                  <w:marLeft w:val="0"/>
                  <w:marRight w:val="0"/>
                  <w:marTop w:val="0"/>
                  <w:marBottom w:val="0"/>
                  <w:divBdr>
                    <w:top w:val="none" w:sz="0" w:space="0" w:color="auto"/>
                    <w:left w:val="none" w:sz="0" w:space="0" w:color="auto"/>
                    <w:bottom w:val="none" w:sz="0" w:space="0" w:color="auto"/>
                    <w:right w:val="none" w:sz="0" w:space="0" w:color="auto"/>
                  </w:divBdr>
                  <w:divsChild>
                    <w:div w:id="1093015862">
                      <w:marLeft w:val="0"/>
                      <w:marRight w:val="0"/>
                      <w:marTop w:val="0"/>
                      <w:marBottom w:val="0"/>
                      <w:divBdr>
                        <w:top w:val="none" w:sz="0" w:space="0" w:color="auto"/>
                        <w:left w:val="none" w:sz="0" w:space="0" w:color="auto"/>
                        <w:bottom w:val="none" w:sz="0" w:space="0" w:color="auto"/>
                        <w:right w:val="none" w:sz="0" w:space="0" w:color="auto"/>
                      </w:divBdr>
                      <w:divsChild>
                        <w:div w:id="1821267662">
                          <w:marLeft w:val="0"/>
                          <w:marRight w:val="0"/>
                          <w:marTop w:val="0"/>
                          <w:marBottom w:val="0"/>
                          <w:divBdr>
                            <w:top w:val="none" w:sz="0" w:space="0" w:color="auto"/>
                            <w:left w:val="none" w:sz="0" w:space="0" w:color="auto"/>
                            <w:bottom w:val="none" w:sz="0" w:space="0" w:color="auto"/>
                            <w:right w:val="none" w:sz="0" w:space="0" w:color="auto"/>
                          </w:divBdr>
                          <w:divsChild>
                            <w:div w:id="21284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85314">
      <w:bodyDiv w:val="1"/>
      <w:marLeft w:val="0"/>
      <w:marRight w:val="0"/>
      <w:marTop w:val="0"/>
      <w:marBottom w:val="0"/>
      <w:divBdr>
        <w:top w:val="none" w:sz="0" w:space="0" w:color="auto"/>
        <w:left w:val="none" w:sz="0" w:space="0" w:color="auto"/>
        <w:bottom w:val="none" w:sz="0" w:space="0" w:color="auto"/>
        <w:right w:val="none" w:sz="0" w:space="0" w:color="auto"/>
      </w:divBdr>
      <w:divsChild>
        <w:div w:id="178350812">
          <w:marLeft w:val="0"/>
          <w:marRight w:val="0"/>
          <w:marTop w:val="0"/>
          <w:marBottom w:val="0"/>
          <w:divBdr>
            <w:top w:val="none" w:sz="0" w:space="0" w:color="auto"/>
            <w:left w:val="none" w:sz="0" w:space="0" w:color="auto"/>
            <w:bottom w:val="none" w:sz="0" w:space="0" w:color="auto"/>
            <w:right w:val="none" w:sz="0" w:space="0" w:color="auto"/>
          </w:divBdr>
          <w:divsChild>
            <w:div w:id="1711877150">
              <w:marLeft w:val="0"/>
              <w:marRight w:val="0"/>
              <w:marTop w:val="0"/>
              <w:marBottom w:val="0"/>
              <w:divBdr>
                <w:top w:val="none" w:sz="0" w:space="0" w:color="auto"/>
                <w:left w:val="none" w:sz="0" w:space="0" w:color="auto"/>
                <w:bottom w:val="none" w:sz="0" w:space="0" w:color="auto"/>
                <w:right w:val="none" w:sz="0" w:space="0" w:color="auto"/>
              </w:divBdr>
              <w:divsChild>
                <w:div w:id="2080714271">
                  <w:marLeft w:val="0"/>
                  <w:marRight w:val="0"/>
                  <w:marTop w:val="0"/>
                  <w:marBottom w:val="0"/>
                  <w:divBdr>
                    <w:top w:val="none" w:sz="0" w:space="0" w:color="auto"/>
                    <w:left w:val="none" w:sz="0" w:space="0" w:color="auto"/>
                    <w:bottom w:val="none" w:sz="0" w:space="0" w:color="auto"/>
                    <w:right w:val="none" w:sz="0" w:space="0" w:color="auto"/>
                  </w:divBdr>
                  <w:divsChild>
                    <w:div w:id="298147009">
                      <w:marLeft w:val="0"/>
                      <w:marRight w:val="0"/>
                      <w:marTop w:val="0"/>
                      <w:marBottom w:val="0"/>
                      <w:divBdr>
                        <w:top w:val="none" w:sz="0" w:space="0" w:color="auto"/>
                        <w:left w:val="none" w:sz="0" w:space="0" w:color="auto"/>
                        <w:bottom w:val="none" w:sz="0" w:space="0" w:color="auto"/>
                        <w:right w:val="none" w:sz="0" w:space="0" w:color="auto"/>
                      </w:divBdr>
                      <w:divsChild>
                        <w:div w:id="513881636">
                          <w:marLeft w:val="0"/>
                          <w:marRight w:val="0"/>
                          <w:marTop w:val="0"/>
                          <w:marBottom w:val="0"/>
                          <w:divBdr>
                            <w:top w:val="none" w:sz="0" w:space="0" w:color="auto"/>
                            <w:left w:val="none" w:sz="0" w:space="0" w:color="auto"/>
                            <w:bottom w:val="none" w:sz="0" w:space="0" w:color="auto"/>
                            <w:right w:val="none" w:sz="0" w:space="0" w:color="auto"/>
                          </w:divBdr>
                          <w:divsChild>
                            <w:div w:id="10841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68097">
      <w:bodyDiv w:val="1"/>
      <w:marLeft w:val="0"/>
      <w:marRight w:val="0"/>
      <w:marTop w:val="0"/>
      <w:marBottom w:val="0"/>
      <w:divBdr>
        <w:top w:val="none" w:sz="0" w:space="0" w:color="auto"/>
        <w:left w:val="none" w:sz="0" w:space="0" w:color="auto"/>
        <w:bottom w:val="none" w:sz="0" w:space="0" w:color="auto"/>
        <w:right w:val="none" w:sz="0" w:space="0" w:color="auto"/>
      </w:divBdr>
      <w:divsChild>
        <w:div w:id="1831603485">
          <w:marLeft w:val="0"/>
          <w:marRight w:val="0"/>
          <w:marTop w:val="0"/>
          <w:marBottom w:val="0"/>
          <w:divBdr>
            <w:top w:val="none" w:sz="0" w:space="0" w:color="auto"/>
            <w:left w:val="none" w:sz="0" w:space="0" w:color="auto"/>
            <w:bottom w:val="none" w:sz="0" w:space="0" w:color="auto"/>
            <w:right w:val="none" w:sz="0" w:space="0" w:color="auto"/>
          </w:divBdr>
          <w:divsChild>
            <w:div w:id="947468275">
              <w:marLeft w:val="0"/>
              <w:marRight w:val="0"/>
              <w:marTop w:val="0"/>
              <w:marBottom w:val="0"/>
              <w:divBdr>
                <w:top w:val="none" w:sz="0" w:space="0" w:color="auto"/>
                <w:left w:val="none" w:sz="0" w:space="0" w:color="auto"/>
                <w:bottom w:val="none" w:sz="0" w:space="0" w:color="auto"/>
                <w:right w:val="none" w:sz="0" w:space="0" w:color="auto"/>
              </w:divBdr>
              <w:divsChild>
                <w:div w:id="1268267487">
                  <w:marLeft w:val="0"/>
                  <w:marRight w:val="0"/>
                  <w:marTop w:val="0"/>
                  <w:marBottom w:val="0"/>
                  <w:divBdr>
                    <w:top w:val="none" w:sz="0" w:space="0" w:color="auto"/>
                    <w:left w:val="none" w:sz="0" w:space="0" w:color="auto"/>
                    <w:bottom w:val="none" w:sz="0" w:space="0" w:color="auto"/>
                    <w:right w:val="none" w:sz="0" w:space="0" w:color="auto"/>
                  </w:divBdr>
                  <w:divsChild>
                    <w:div w:id="1298149775">
                      <w:marLeft w:val="0"/>
                      <w:marRight w:val="0"/>
                      <w:marTop w:val="0"/>
                      <w:marBottom w:val="0"/>
                      <w:divBdr>
                        <w:top w:val="none" w:sz="0" w:space="0" w:color="auto"/>
                        <w:left w:val="none" w:sz="0" w:space="0" w:color="auto"/>
                        <w:bottom w:val="none" w:sz="0" w:space="0" w:color="auto"/>
                        <w:right w:val="none" w:sz="0" w:space="0" w:color="auto"/>
                      </w:divBdr>
                      <w:divsChild>
                        <w:div w:id="1053507717">
                          <w:marLeft w:val="0"/>
                          <w:marRight w:val="0"/>
                          <w:marTop w:val="0"/>
                          <w:marBottom w:val="0"/>
                          <w:divBdr>
                            <w:top w:val="none" w:sz="0" w:space="0" w:color="auto"/>
                            <w:left w:val="none" w:sz="0" w:space="0" w:color="auto"/>
                            <w:bottom w:val="none" w:sz="0" w:space="0" w:color="auto"/>
                            <w:right w:val="none" w:sz="0" w:space="0" w:color="auto"/>
                          </w:divBdr>
                          <w:divsChild>
                            <w:div w:id="1754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29389">
      <w:bodyDiv w:val="1"/>
      <w:marLeft w:val="0"/>
      <w:marRight w:val="0"/>
      <w:marTop w:val="0"/>
      <w:marBottom w:val="0"/>
      <w:divBdr>
        <w:top w:val="none" w:sz="0" w:space="0" w:color="auto"/>
        <w:left w:val="none" w:sz="0" w:space="0" w:color="auto"/>
        <w:bottom w:val="none" w:sz="0" w:space="0" w:color="auto"/>
        <w:right w:val="none" w:sz="0" w:space="0" w:color="auto"/>
      </w:divBdr>
      <w:divsChild>
        <w:div w:id="1819296233">
          <w:marLeft w:val="0"/>
          <w:marRight w:val="0"/>
          <w:marTop w:val="0"/>
          <w:marBottom w:val="0"/>
          <w:divBdr>
            <w:top w:val="none" w:sz="0" w:space="0" w:color="auto"/>
            <w:left w:val="none" w:sz="0" w:space="0" w:color="auto"/>
            <w:bottom w:val="none" w:sz="0" w:space="0" w:color="auto"/>
            <w:right w:val="none" w:sz="0" w:space="0" w:color="auto"/>
          </w:divBdr>
          <w:divsChild>
            <w:div w:id="365562079">
              <w:marLeft w:val="0"/>
              <w:marRight w:val="0"/>
              <w:marTop w:val="0"/>
              <w:marBottom w:val="0"/>
              <w:divBdr>
                <w:top w:val="none" w:sz="0" w:space="0" w:color="auto"/>
                <w:left w:val="none" w:sz="0" w:space="0" w:color="auto"/>
                <w:bottom w:val="none" w:sz="0" w:space="0" w:color="auto"/>
                <w:right w:val="none" w:sz="0" w:space="0" w:color="auto"/>
              </w:divBdr>
              <w:divsChild>
                <w:div w:id="64691112">
                  <w:marLeft w:val="0"/>
                  <w:marRight w:val="0"/>
                  <w:marTop w:val="0"/>
                  <w:marBottom w:val="0"/>
                  <w:divBdr>
                    <w:top w:val="none" w:sz="0" w:space="0" w:color="auto"/>
                    <w:left w:val="none" w:sz="0" w:space="0" w:color="auto"/>
                    <w:bottom w:val="none" w:sz="0" w:space="0" w:color="auto"/>
                    <w:right w:val="none" w:sz="0" w:space="0" w:color="auto"/>
                  </w:divBdr>
                  <w:divsChild>
                    <w:div w:id="1873640914">
                      <w:marLeft w:val="0"/>
                      <w:marRight w:val="0"/>
                      <w:marTop w:val="0"/>
                      <w:marBottom w:val="0"/>
                      <w:divBdr>
                        <w:top w:val="none" w:sz="0" w:space="0" w:color="auto"/>
                        <w:left w:val="none" w:sz="0" w:space="0" w:color="auto"/>
                        <w:bottom w:val="none" w:sz="0" w:space="0" w:color="auto"/>
                        <w:right w:val="none" w:sz="0" w:space="0" w:color="auto"/>
                      </w:divBdr>
                      <w:divsChild>
                        <w:div w:id="462433533">
                          <w:marLeft w:val="0"/>
                          <w:marRight w:val="0"/>
                          <w:marTop w:val="0"/>
                          <w:marBottom w:val="0"/>
                          <w:divBdr>
                            <w:top w:val="none" w:sz="0" w:space="0" w:color="auto"/>
                            <w:left w:val="none" w:sz="0" w:space="0" w:color="auto"/>
                            <w:bottom w:val="none" w:sz="0" w:space="0" w:color="auto"/>
                            <w:right w:val="none" w:sz="0" w:space="0" w:color="auto"/>
                          </w:divBdr>
                          <w:divsChild>
                            <w:div w:id="19267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73175">
      <w:bodyDiv w:val="1"/>
      <w:marLeft w:val="0"/>
      <w:marRight w:val="0"/>
      <w:marTop w:val="0"/>
      <w:marBottom w:val="0"/>
      <w:divBdr>
        <w:top w:val="none" w:sz="0" w:space="0" w:color="auto"/>
        <w:left w:val="none" w:sz="0" w:space="0" w:color="auto"/>
        <w:bottom w:val="none" w:sz="0" w:space="0" w:color="auto"/>
        <w:right w:val="none" w:sz="0" w:space="0" w:color="auto"/>
      </w:divBdr>
      <w:divsChild>
        <w:div w:id="1010181357">
          <w:marLeft w:val="0"/>
          <w:marRight w:val="0"/>
          <w:marTop w:val="0"/>
          <w:marBottom w:val="0"/>
          <w:divBdr>
            <w:top w:val="none" w:sz="0" w:space="0" w:color="auto"/>
            <w:left w:val="none" w:sz="0" w:space="0" w:color="auto"/>
            <w:bottom w:val="none" w:sz="0" w:space="0" w:color="auto"/>
            <w:right w:val="none" w:sz="0" w:space="0" w:color="auto"/>
          </w:divBdr>
          <w:divsChild>
            <w:div w:id="857160506">
              <w:marLeft w:val="0"/>
              <w:marRight w:val="0"/>
              <w:marTop w:val="0"/>
              <w:marBottom w:val="0"/>
              <w:divBdr>
                <w:top w:val="none" w:sz="0" w:space="0" w:color="auto"/>
                <w:left w:val="none" w:sz="0" w:space="0" w:color="auto"/>
                <w:bottom w:val="none" w:sz="0" w:space="0" w:color="auto"/>
                <w:right w:val="none" w:sz="0" w:space="0" w:color="auto"/>
              </w:divBdr>
              <w:divsChild>
                <w:div w:id="1999265209">
                  <w:marLeft w:val="0"/>
                  <w:marRight w:val="0"/>
                  <w:marTop w:val="0"/>
                  <w:marBottom w:val="0"/>
                  <w:divBdr>
                    <w:top w:val="none" w:sz="0" w:space="0" w:color="auto"/>
                    <w:left w:val="none" w:sz="0" w:space="0" w:color="auto"/>
                    <w:bottom w:val="none" w:sz="0" w:space="0" w:color="auto"/>
                    <w:right w:val="none" w:sz="0" w:space="0" w:color="auto"/>
                  </w:divBdr>
                  <w:divsChild>
                    <w:div w:id="1807237244">
                      <w:marLeft w:val="0"/>
                      <w:marRight w:val="0"/>
                      <w:marTop w:val="0"/>
                      <w:marBottom w:val="0"/>
                      <w:divBdr>
                        <w:top w:val="none" w:sz="0" w:space="0" w:color="auto"/>
                        <w:left w:val="none" w:sz="0" w:space="0" w:color="auto"/>
                        <w:bottom w:val="none" w:sz="0" w:space="0" w:color="auto"/>
                        <w:right w:val="none" w:sz="0" w:space="0" w:color="auto"/>
                      </w:divBdr>
                      <w:divsChild>
                        <w:div w:id="886532486">
                          <w:marLeft w:val="0"/>
                          <w:marRight w:val="0"/>
                          <w:marTop w:val="0"/>
                          <w:marBottom w:val="0"/>
                          <w:divBdr>
                            <w:top w:val="none" w:sz="0" w:space="0" w:color="auto"/>
                            <w:left w:val="none" w:sz="0" w:space="0" w:color="auto"/>
                            <w:bottom w:val="none" w:sz="0" w:space="0" w:color="auto"/>
                            <w:right w:val="none" w:sz="0" w:space="0" w:color="auto"/>
                          </w:divBdr>
                          <w:divsChild>
                            <w:div w:id="4044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381068">
      <w:bodyDiv w:val="1"/>
      <w:marLeft w:val="0"/>
      <w:marRight w:val="0"/>
      <w:marTop w:val="0"/>
      <w:marBottom w:val="0"/>
      <w:divBdr>
        <w:top w:val="none" w:sz="0" w:space="0" w:color="auto"/>
        <w:left w:val="none" w:sz="0" w:space="0" w:color="auto"/>
        <w:bottom w:val="none" w:sz="0" w:space="0" w:color="auto"/>
        <w:right w:val="none" w:sz="0" w:space="0" w:color="auto"/>
      </w:divBdr>
      <w:divsChild>
        <w:div w:id="55395314">
          <w:marLeft w:val="0"/>
          <w:marRight w:val="0"/>
          <w:marTop w:val="0"/>
          <w:marBottom w:val="0"/>
          <w:divBdr>
            <w:top w:val="none" w:sz="0" w:space="0" w:color="auto"/>
            <w:left w:val="none" w:sz="0" w:space="0" w:color="auto"/>
            <w:bottom w:val="none" w:sz="0" w:space="0" w:color="auto"/>
            <w:right w:val="none" w:sz="0" w:space="0" w:color="auto"/>
          </w:divBdr>
          <w:divsChild>
            <w:div w:id="1972638258">
              <w:marLeft w:val="0"/>
              <w:marRight w:val="0"/>
              <w:marTop w:val="0"/>
              <w:marBottom w:val="0"/>
              <w:divBdr>
                <w:top w:val="none" w:sz="0" w:space="0" w:color="auto"/>
                <w:left w:val="none" w:sz="0" w:space="0" w:color="auto"/>
                <w:bottom w:val="none" w:sz="0" w:space="0" w:color="auto"/>
                <w:right w:val="none" w:sz="0" w:space="0" w:color="auto"/>
              </w:divBdr>
              <w:divsChild>
                <w:div w:id="344206736">
                  <w:marLeft w:val="0"/>
                  <w:marRight w:val="0"/>
                  <w:marTop w:val="0"/>
                  <w:marBottom w:val="0"/>
                  <w:divBdr>
                    <w:top w:val="none" w:sz="0" w:space="0" w:color="auto"/>
                    <w:left w:val="none" w:sz="0" w:space="0" w:color="auto"/>
                    <w:bottom w:val="none" w:sz="0" w:space="0" w:color="auto"/>
                    <w:right w:val="none" w:sz="0" w:space="0" w:color="auto"/>
                  </w:divBdr>
                  <w:divsChild>
                    <w:div w:id="670834297">
                      <w:marLeft w:val="0"/>
                      <w:marRight w:val="0"/>
                      <w:marTop w:val="0"/>
                      <w:marBottom w:val="0"/>
                      <w:divBdr>
                        <w:top w:val="none" w:sz="0" w:space="0" w:color="auto"/>
                        <w:left w:val="none" w:sz="0" w:space="0" w:color="auto"/>
                        <w:bottom w:val="none" w:sz="0" w:space="0" w:color="auto"/>
                        <w:right w:val="none" w:sz="0" w:space="0" w:color="auto"/>
                      </w:divBdr>
                      <w:divsChild>
                        <w:div w:id="862666380">
                          <w:marLeft w:val="0"/>
                          <w:marRight w:val="0"/>
                          <w:marTop w:val="0"/>
                          <w:marBottom w:val="0"/>
                          <w:divBdr>
                            <w:top w:val="none" w:sz="0" w:space="0" w:color="auto"/>
                            <w:left w:val="none" w:sz="0" w:space="0" w:color="auto"/>
                            <w:bottom w:val="none" w:sz="0" w:space="0" w:color="auto"/>
                            <w:right w:val="none" w:sz="0" w:space="0" w:color="auto"/>
                          </w:divBdr>
                          <w:divsChild>
                            <w:div w:id="1805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88185">
      <w:bodyDiv w:val="1"/>
      <w:marLeft w:val="0"/>
      <w:marRight w:val="0"/>
      <w:marTop w:val="0"/>
      <w:marBottom w:val="0"/>
      <w:divBdr>
        <w:top w:val="none" w:sz="0" w:space="0" w:color="auto"/>
        <w:left w:val="none" w:sz="0" w:space="0" w:color="auto"/>
        <w:bottom w:val="none" w:sz="0" w:space="0" w:color="auto"/>
        <w:right w:val="none" w:sz="0" w:space="0" w:color="auto"/>
      </w:divBdr>
      <w:divsChild>
        <w:div w:id="1681740857">
          <w:marLeft w:val="0"/>
          <w:marRight w:val="0"/>
          <w:marTop w:val="0"/>
          <w:marBottom w:val="0"/>
          <w:divBdr>
            <w:top w:val="none" w:sz="0" w:space="0" w:color="auto"/>
            <w:left w:val="none" w:sz="0" w:space="0" w:color="auto"/>
            <w:bottom w:val="none" w:sz="0" w:space="0" w:color="auto"/>
            <w:right w:val="none" w:sz="0" w:space="0" w:color="auto"/>
          </w:divBdr>
          <w:divsChild>
            <w:div w:id="1031567684">
              <w:marLeft w:val="0"/>
              <w:marRight w:val="0"/>
              <w:marTop w:val="0"/>
              <w:marBottom w:val="0"/>
              <w:divBdr>
                <w:top w:val="none" w:sz="0" w:space="0" w:color="auto"/>
                <w:left w:val="none" w:sz="0" w:space="0" w:color="auto"/>
                <w:bottom w:val="none" w:sz="0" w:space="0" w:color="auto"/>
                <w:right w:val="none" w:sz="0" w:space="0" w:color="auto"/>
              </w:divBdr>
              <w:divsChild>
                <w:div w:id="22248418">
                  <w:marLeft w:val="0"/>
                  <w:marRight w:val="0"/>
                  <w:marTop w:val="0"/>
                  <w:marBottom w:val="0"/>
                  <w:divBdr>
                    <w:top w:val="none" w:sz="0" w:space="0" w:color="auto"/>
                    <w:left w:val="none" w:sz="0" w:space="0" w:color="auto"/>
                    <w:bottom w:val="none" w:sz="0" w:space="0" w:color="auto"/>
                    <w:right w:val="none" w:sz="0" w:space="0" w:color="auto"/>
                  </w:divBdr>
                  <w:divsChild>
                    <w:div w:id="1057316323">
                      <w:marLeft w:val="0"/>
                      <w:marRight w:val="0"/>
                      <w:marTop w:val="0"/>
                      <w:marBottom w:val="0"/>
                      <w:divBdr>
                        <w:top w:val="none" w:sz="0" w:space="0" w:color="auto"/>
                        <w:left w:val="none" w:sz="0" w:space="0" w:color="auto"/>
                        <w:bottom w:val="none" w:sz="0" w:space="0" w:color="auto"/>
                        <w:right w:val="none" w:sz="0" w:space="0" w:color="auto"/>
                      </w:divBdr>
                      <w:divsChild>
                        <w:div w:id="953177055">
                          <w:marLeft w:val="0"/>
                          <w:marRight w:val="0"/>
                          <w:marTop w:val="0"/>
                          <w:marBottom w:val="0"/>
                          <w:divBdr>
                            <w:top w:val="none" w:sz="0" w:space="0" w:color="auto"/>
                            <w:left w:val="none" w:sz="0" w:space="0" w:color="auto"/>
                            <w:bottom w:val="none" w:sz="0" w:space="0" w:color="auto"/>
                            <w:right w:val="none" w:sz="0" w:space="0" w:color="auto"/>
                          </w:divBdr>
                          <w:divsChild>
                            <w:div w:id="2483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871146">
      <w:bodyDiv w:val="1"/>
      <w:marLeft w:val="0"/>
      <w:marRight w:val="0"/>
      <w:marTop w:val="0"/>
      <w:marBottom w:val="0"/>
      <w:divBdr>
        <w:top w:val="none" w:sz="0" w:space="0" w:color="auto"/>
        <w:left w:val="none" w:sz="0" w:space="0" w:color="auto"/>
        <w:bottom w:val="none" w:sz="0" w:space="0" w:color="auto"/>
        <w:right w:val="none" w:sz="0" w:space="0" w:color="auto"/>
      </w:divBdr>
      <w:divsChild>
        <w:div w:id="2048220538">
          <w:marLeft w:val="0"/>
          <w:marRight w:val="0"/>
          <w:marTop w:val="0"/>
          <w:marBottom w:val="0"/>
          <w:divBdr>
            <w:top w:val="none" w:sz="0" w:space="0" w:color="auto"/>
            <w:left w:val="none" w:sz="0" w:space="0" w:color="auto"/>
            <w:bottom w:val="none" w:sz="0" w:space="0" w:color="auto"/>
            <w:right w:val="none" w:sz="0" w:space="0" w:color="auto"/>
          </w:divBdr>
          <w:divsChild>
            <w:div w:id="789544612">
              <w:marLeft w:val="0"/>
              <w:marRight w:val="0"/>
              <w:marTop w:val="0"/>
              <w:marBottom w:val="0"/>
              <w:divBdr>
                <w:top w:val="none" w:sz="0" w:space="0" w:color="auto"/>
                <w:left w:val="none" w:sz="0" w:space="0" w:color="auto"/>
                <w:bottom w:val="none" w:sz="0" w:space="0" w:color="auto"/>
                <w:right w:val="none" w:sz="0" w:space="0" w:color="auto"/>
              </w:divBdr>
              <w:divsChild>
                <w:div w:id="1748456792">
                  <w:marLeft w:val="0"/>
                  <w:marRight w:val="0"/>
                  <w:marTop w:val="0"/>
                  <w:marBottom w:val="0"/>
                  <w:divBdr>
                    <w:top w:val="none" w:sz="0" w:space="0" w:color="auto"/>
                    <w:left w:val="none" w:sz="0" w:space="0" w:color="auto"/>
                    <w:bottom w:val="none" w:sz="0" w:space="0" w:color="auto"/>
                    <w:right w:val="none" w:sz="0" w:space="0" w:color="auto"/>
                  </w:divBdr>
                  <w:divsChild>
                    <w:div w:id="995186967">
                      <w:marLeft w:val="0"/>
                      <w:marRight w:val="0"/>
                      <w:marTop w:val="0"/>
                      <w:marBottom w:val="0"/>
                      <w:divBdr>
                        <w:top w:val="none" w:sz="0" w:space="0" w:color="auto"/>
                        <w:left w:val="none" w:sz="0" w:space="0" w:color="auto"/>
                        <w:bottom w:val="none" w:sz="0" w:space="0" w:color="auto"/>
                        <w:right w:val="none" w:sz="0" w:space="0" w:color="auto"/>
                      </w:divBdr>
                      <w:divsChild>
                        <w:div w:id="1295481089">
                          <w:marLeft w:val="0"/>
                          <w:marRight w:val="0"/>
                          <w:marTop w:val="0"/>
                          <w:marBottom w:val="0"/>
                          <w:divBdr>
                            <w:top w:val="none" w:sz="0" w:space="0" w:color="auto"/>
                            <w:left w:val="none" w:sz="0" w:space="0" w:color="auto"/>
                            <w:bottom w:val="none" w:sz="0" w:space="0" w:color="auto"/>
                            <w:right w:val="none" w:sz="0" w:space="0" w:color="auto"/>
                          </w:divBdr>
                          <w:divsChild>
                            <w:div w:id="879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2253">
      <w:bodyDiv w:val="1"/>
      <w:marLeft w:val="0"/>
      <w:marRight w:val="0"/>
      <w:marTop w:val="0"/>
      <w:marBottom w:val="0"/>
      <w:divBdr>
        <w:top w:val="none" w:sz="0" w:space="0" w:color="auto"/>
        <w:left w:val="none" w:sz="0" w:space="0" w:color="auto"/>
        <w:bottom w:val="none" w:sz="0" w:space="0" w:color="auto"/>
        <w:right w:val="none" w:sz="0" w:space="0" w:color="auto"/>
      </w:divBdr>
      <w:divsChild>
        <w:div w:id="1540239198">
          <w:marLeft w:val="0"/>
          <w:marRight w:val="0"/>
          <w:marTop w:val="0"/>
          <w:marBottom w:val="0"/>
          <w:divBdr>
            <w:top w:val="none" w:sz="0" w:space="0" w:color="auto"/>
            <w:left w:val="none" w:sz="0" w:space="0" w:color="auto"/>
            <w:bottom w:val="none" w:sz="0" w:space="0" w:color="auto"/>
            <w:right w:val="none" w:sz="0" w:space="0" w:color="auto"/>
          </w:divBdr>
          <w:divsChild>
            <w:div w:id="1697191640">
              <w:marLeft w:val="0"/>
              <w:marRight w:val="0"/>
              <w:marTop w:val="0"/>
              <w:marBottom w:val="0"/>
              <w:divBdr>
                <w:top w:val="none" w:sz="0" w:space="0" w:color="auto"/>
                <w:left w:val="none" w:sz="0" w:space="0" w:color="auto"/>
                <w:bottom w:val="none" w:sz="0" w:space="0" w:color="auto"/>
                <w:right w:val="none" w:sz="0" w:space="0" w:color="auto"/>
              </w:divBdr>
              <w:divsChild>
                <w:div w:id="896741515">
                  <w:marLeft w:val="0"/>
                  <w:marRight w:val="0"/>
                  <w:marTop w:val="0"/>
                  <w:marBottom w:val="0"/>
                  <w:divBdr>
                    <w:top w:val="none" w:sz="0" w:space="0" w:color="auto"/>
                    <w:left w:val="none" w:sz="0" w:space="0" w:color="auto"/>
                    <w:bottom w:val="none" w:sz="0" w:space="0" w:color="auto"/>
                    <w:right w:val="none" w:sz="0" w:space="0" w:color="auto"/>
                  </w:divBdr>
                  <w:divsChild>
                    <w:div w:id="538933361">
                      <w:marLeft w:val="0"/>
                      <w:marRight w:val="0"/>
                      <w:marTop w:val="0"/>
                      <w:marBottom w:val="0"/>
                      <w:divBdr>
                        <w:top w:val="none" w:sz="0" w:space="0" w:color="auto"/>
                        <w:left w:val="none" w:sz="0" w:space="0" w:color="auto"/>
                        <w:bottom w:val="none" w:sz="0" w:space="0" w:color="auto"/>
                        <w:right w:val="none" w:sz="0" w:space="0" w:color="auto"/>
                      </w:divBdr>
                      <w:divsChild>
                        <w:div w:id="1202598659">
                          <w:marLeft w:val="0"/>
                          <w:marRight w:val="0"/>
                          <w:marTop w:val="0"/>
                          <w:marBottom w:val="0"/>
                          <w:divBdr>
                            <w:top w:val="none" w:sz="0" w:space="0" w:color="auto"/>
                            <w:left w:val="none" w:sz="0" w:space="0" w:color="auto"/>
                            <w:bottom w:val="none" w:sz="0" w:space="0" w:color="auto"/>
                            <w:right w:val="none" w:sz="0" w:space="0" w:color="auto"/>
                          </w:divBdr>
                          <w:divsChild>
                            <w:div w:id="455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737596">
      <w:bodyDiv w:val="1"/>
      <w:marLeft w:val="0"/>
      <w:marRight w:val="0"/>
      <w:marTop w:val="0"/>
      <w:marBottom w:val="0"/>
      <w:divBdr>
        <w:top w:val="none" w:sz="0" w:space="0" w:color="auto"/>
        <w:left w:val="none" w:sz="0" w:space="0" w:color="auto"/>
        <w:bottom w:val="none" w:sz="0" w:space="0" w:color="auto"/>
        <w:right w:val="none" w:sz="0" w:space="0" w:color="auto"/>
      </w:divBdr>
      <w:divsChild>
        <w:div w:id="1512835875">
          <w:marLeft w:val="0"/>
          <w:marRight w:val="0"/>
          <w:marTop w:val="0"/>
          <w:marBottom w:val="0"/>
          <w:divBdr>
            <w:top w:val="none" w:sz="0" w:space="0" w:color="auto"/>
            <w:left w:val="none" w:sz="0" w:space="0" w:color="auto"/>
            <w:bottom w:val="none" w:sz="0" w:space="0" w:color="auto"/>
            <w:right w:val="none" w:sz="0" w:space="0" w:color="auto"/>
          </w:divBdr>
          <w:divsChild>
            <w:div w:id="968629776">
              <w:marLeft w:val="0"/>
              <w:marRight w:val="0"/>
              <w:marTop w:val="0"/>
              <w:marBottom w:val="0"/>
              <w:divBdr>
                <w:top w:val="none" w:sz="0" w:space="0" w:color="auto"/>
                <w:left w:val="none" w:sz="0" w:space="0" w:color="auto"/>
                <w:bottom w:val="none" w:sz="0" w:space="0" w:color="auto"/>
                <w:right w:val="none" w:sz="0" w:space="0" w:color="auto"/>
              </w:divBdr>
              <w:divsChild>
                <w:div w:id="665136029">
                  <w:marLeft w:val="0"/>
                  <w:marRight w:val="0"/>
                  <w:marTop w:val="0"/>
                  <w:marBottom w:val="0"/>
                  <w:divBdr>
                    <w:top w:val="none" w:sz="0" w:space="0" w:color="auto"/>
                    <w:left w:val="none" w:sz="0" w:space="0" w:color="auto"/>
                    <w:bottom w:val="none" w:sz="0" w:space="0" w:color="auto"/>
                    <w:right w:val="none" w:sz="0" w:space="0" w:color="auto"/>
                  </w:divBdr>
                  <w:divsChild>
                    <w:div w:id="49812622">
                      <w:marLeft w:val="0"/>
                      <w:marRight w:val="0"/>
                      <w:marTop w:val="0"/>
                      <w:marBottom w:val="0"/>
                      <w:divBdr>
                        <w:top w:val="none" w:sz="0" w:space="0" w:color="auto"/>
                        <w:left w:val="none" w:sz="0" w:space="0" w:color="auto"/>
                        <w:bottom w:val="none" w:sz="0" w:space="0" w:color="auto"/>
                        <w:right w:val="none" w:sz="0" w:space="0" w:color="auto"/>
                      </w:divBdr>
                      <w:divsChild>
                        <w:div w:id="1954969495">
                          <w:marLeft w:val="0"/>
                          <w:marRight w:val="0"/>
                          <w:marTop w:val="0"/>
                          <w:marBottom w:val="0"/>
                          <w:divBdr>
                            <w:top w:val="none" w:sz="0" w:space="0" w:color="auto"/>
                            <w:left w:val="none" w:sz="0" w:space="0" w:color="auto"/>
                            <w:bottom w:val="none" w:sz="0" w:space="0" w:color="auto"/>
                            <w:right w:val="none" w:sz="0" w:space="0" w:color="auto"/>
                          </w:divBdr>
                          <w:divsChild>
                            <w:div w:id="5499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085679">
      <w:bodyDiv w:val="1"/>
      <w:marLeft w:val="0"/>
      <w:marRight w:val="0"/>
      <w:marTop w:val="0"/>
      <w:marBottom w:val="0"/>
      <w:divBdr>
        <w:top w:val="none" w:sz="0" w:space="0" w:color="auto"/>
        <w:left w:val="none" w:sz="0" w:space="0" w:color="auto"/>
        <w:bottom w:val="none" w:sz="0" w:space="0" w:color="auto"/>
        <w:right w:val="none" w:sz="0" w:space="0" w:color="auto"/>
      </w:divBdr>
      <w:divsChild>
        <w:div w:id="1795445201">
          <w:marLeft w:val="0"/>
          <w:marRight w:val="0"/>
          <w:marTop w:val="0"/>
          <w:marBottom w:val="0"/>
          <w:divBdr>
            <w:top w:val="none" w:sz="0" w:space="0" w:color="auto"/>
            <w:left w:val="none" w:sz="0" w:space="0" w:color="auto"/>
            <w:bottom w:val="none" w:sz="0" w:space="0" w:color="auto"/>
            <w:right w:val="none" w:sz="0" w:space="0" w:color="auto"/>
          </w:divBdr>
          <w:divsChild>
            <w:div w:id="1068502453">
              <w:marLeft w:val="0"/>
              <w:marRight w:val="0"/>
              <w:marTop w:val="0"/>
              <w:marBottom w:val="0"/>
              <w:divBdr>
                <w:top w:val="none" w:sz="0" w:space="0" w:color="auto"/>
                <w:left w:val="none" w:sz="0" w:space="0" w:color="auto"/>
                <w:bottom w:val="none" w:sz="0" w:space="0" w:color="auto"/>
                <w:right w:val="none" w:sz="0" w:space="0" w:color="auto"/>
              </w:divBdr>
              <w:divsChild>
                <w:div w:id="795492545">
                  <w:marLeft w:val="0"/>
                  <w:marRight w:val="0"/>
                  <w:marTop w:val="0"/>
                  <w:marBottom w:val="0"/>
                  <w:divBdr>
                    <w:top w:val="none" w:sz="0" w:space="0" w:color="auto"/>
                    <w:left w:val="none" w:sz="0" w:space="0" w:color="auto"/>
                    <w:bottom w:val="none" w:sz="0" w:space="0" w:color="auto"/>
                    <w:right w:val="none" w:sz="0" w:space="0" w:color="auto"/>
                  </w:divBdr>
                  <w:divsChild>
                    <w:div w:id="2121293428">
                      <w:marLeft w:val="0"/>
                      <w:marRight w:val="0"/>
                      <w:marTop w:val="0"/>
                      <w:marBottom w:val="0"/>
                      <w:divBdr>
                        <w:top w:val="none" w:sz="0" w:space="0" w:color="auto"/>
                        <w:left w:val="none" w:sz="0" w:space="0" w:color="auto"/>
                        <w:bottom w:val="none" w:sz="0" w:space="0" w:color="auto"/>
                        <w:right w:val="none" w:sz="0" w:space="0" w:color="auto"/>
                      </w:divBdr>
                      <w:divsChild>
                        <w:div w:id="1479153405">
                          <w:marLeft w:val="0"/>
                          <w:marRight w:val="0"/>
                          <w:marTop w:val="0"/>
                          <w:marBottom w:val="0"/>
                          <w:divBdr>
                            <w:top w:val="none" w:sz="0" w:space="0" w:color="auto"/>
                            <w:left w:val="none" w:sz="0" w:space="0" w:color="auto"/>
                            <w:bottom w:val="none" w:sz="0" w:space="0" w:color="auto"/>
                            <w:right w:val="none" w:sz="0" w:space="0" w:color="auto"/>
                          </w:divBdr>
                          <w:divsChild>
                            <w:div w:id="15598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2720">
      <w:bodyDiv w:val="1"/>
      <w:marLeft w:val="0"/>
      <w:marRight w:val="0"/>
      <w:marTop w:val="0"/>
      <w:marBottom w:val="0"/>
      <w:divBdr>
        <w:top w:val="none" w:sz="0" w:space="0" w:color="auto"/>
        <w:left w:val="none" w:sz="0" w:space="0" w:color="auto"/>
        <w:bottom w:val="none" w:sz="0" w:space="0" w:color="auto"/>
        <w:right w:val="none" w:sz="0" w:space="0" w:color="auto"/>
      </w:divBdr>
      <w:divsChild>
        <w:div w:id="1553032688">
          <w:marLeft w:val="0"/>
          <w:marRight w:val="0"/>
          <w:marTop w:val="0"/>
          <w:marBottom w:val="0"/>
          <w:divBdr>
            <w:top w:val="none" w:sz="0" w:space="0" w:color="auto"/>
            <w:left w:val="none" w:sz="0" w:space="0" w:color="auto"/>
            <w:bottom w:val="none" w:sz="0" w:space="0" w:color="auto"/>
            <w:right w:val="none" w:sz="0" w:space="0" w:color="auto"/>
          </w:divBdr>
          <w:divsChild>
            <w:div w:id="763576427">
              <w:marLeft w:val="0"/>
              <w:marRight w:val="0"/>
              <w:marTop w:val="0"/>
              <w:marBottom w:val="0"/>
              <w:divBdr>
                <w:top w:val="none" w:sz="0" w:space="0" w:color="auto"/>
                <w:left w:val="none" w:sz="0" w:space="0" w:color="auto"/>
                <w:bottom w:val="none" w:sz="0" w:space="0" w:color="auto"/>
                <w:right w:val="none" w:sz="0" w:space="0" w:color="auto"/>
              </w:divBdr>
              <w:divsChild>
                <w:div w:id="1984508709">
                  <w:marLeft w:val="0"/>
                  <w:marRight w:val="0"/>
                  <w:marTop w:val="0"/>
                  <w:marBottom w:val="0"/>
                  <w:divBdr>
                    <w:top w:val="none" w:sz="0" w:space="0" w:color="auto"/>
                    <w:left w:val="none" w:sz="0" w:space="0" w:color="auto"/>
                    <w:bottom w:val="none" w:sz="0" w:space="0" w:color="auto"/>
                    <w:right w:val="none" w:sz="0" w:space="0" w:color="auto"/>
                  </w:divBdr>
                  <w:divsChild>
                    <w:div w:id="460655983">
                      <w:marLeft w:val="0"/>
                      <w:marRight w:val="0"/>
                      <w:marTop w:val="0"/>
                      <w:marBottom w:val="0"/>
                      <w:divBdr>
                        <w:top w:val="none" w:sz="0" w:space="0" w:color="auto"/>
                        <w:left w:val="none" w:sz="0" w:space="0" w:color="auto"/>
                        <w:bottom w:val="none" w:sz="0" w:space="0" w:color="auto"/>
                        <w:right w:val="none" w:sz="0" w:space="0" w:color="auto"/>
                      </w:divBdr>
                      <w:divsChild>
                        <w:div w:id="1537891111">
                          <w:marLeft w:val="0"/>
                          <w:marRight w:val="0"/>
                          <w:marTop w:val="0"/>
                          <w:marBottom w:val="0"/>
                          <w:divBdr>
                            <w:top w:val="none" w:sz="0" w:space="0" w:color="auto"/>
                            <w:left w:val="none" w:sz="0" w:space="0" w:color="auto"/>
                            <w:bottom w:val="none" w:sz="0" w:space="0" w:color="auto"/>
                            <w:right w:val="none" w:sz="0" w:space="0" w:color="auto"/>
                          </w:divBdr>
                          <w:divsChild>
                            <w:div w:id="1221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49503">
      <w:bodyDiv w:val="1"/>
      <w:marLeft w:val="0"/>
      <w:marRight w:val="0"/>
      <w:marTop w:val="0"/>
      <w:marBottom w:val="0"/>
      <w:divBdr>
        <w:top w:val="none" w:sz="0" w:space="0" w:color="auto"/>
        <w:left w:val="none" w:sz="0" w:space="0" w:color="auto"/>
        <w:bottom w:val="none" w:sz="0" w:space="0" w:color="auto"/>
        <w:right w:val="none" w:sz="0" w:space="0" w:color="auto"/>
      </w:divBdr>
      <w:divsChild>
        <w:div w:id="540361949">
          <w:marLeft w:val="0"/>
          <w:marRight w:val="0"/>
          <w:marTop w:val="0"/>
          <w:marBottom w:val="0"/>
          <w:divBdr>
            <w:top w:val="none" w:sz="0" w:space="0" w:color="auto"/>
            <w:left w:val="none" w:sz="0" w:space="0" w:color="auto"/>
            <w:bottom w:val="none" w:sz="0" w:space="0" w:color="auto"/>
            <w:right w:val="none" w:sz="0" w:space="0" w:color="auto"/>
          </w:divBdr>
          <w:divsChild>
            <w:div w:id="800273846">
              <w:marLeft w:val="0"/>
              <w:marRight w:val="0"/>
              <w:marTop w:val="0"/>
              <w:marBottom w:val="0"/>
              <w:divBdr>
                <w:top w:val="none" w:sz="0" w:space="0" w:color="auto"/>
                <w:left w:val="none" w:sz="0" w:space="0" w:color="auto"/>
                <w:bottom w:val="none" w:sz="0" w:space="0" w:color="auto"/>
                <w:right w:val="none" w:sz="0" w:space="0" w:color="auto"/>
              </w:divBdr>
              <w:divsChild>
                <w:div w:id="471874909">
                  <w:marLeft w:val="0"/>
                  <w:marRight w:val="0"/>
                  <w:marTop w:val="0"/>
                  <w:marBottom w:val="0"/>
                  <w:divBdr>
                    <w:top w:val="none" w:sz="0" w:space="0" w:color="auto"/>
                    <w:left w:val="none" w:sz="0" w:space="0" w:color="auto"/>
                    <w:bottom w:val="none" w:sz="0" w:space="0" w:color="auto"/>
                    <w:right w:val="none" w:sz="0" w:space="0" w:color="auto"/>
                  </w:divBdr>
                  <w:divsChild>
                    <w:div w:id="1666783264">
                      <w:marLeft w:val="0"/>
                      <w:marRight w:val="0"/>
                      <w:marTop w:val="0"/>
                      <w:marBottom w:val="0"/>
                      <w:divBdr>
                        <w:top w:val="none" w:sz="0" w:space="0" w:color="auto"/>
                        <w:left w:val="none" w:sz="0" w:space="0" w:color="auto"/>
                        <w:bottom w:val="none" w:sz="0" w:space="0" w:color="auto"/>
                        <w:right w:val="none" w:sz="0" w:space="0" w:color="auto"/>
                      </w:divBdr>
                      <w:divsChild>
                        <w:div w:id="906648828">
                          <w:marLeft w:val="0"/>
                          <w:marRight w:val="0"/>
                          <w:marTop w:val="0"/>
                          <w:marBottom w:val="0"/>
                          <w:divBdr>
                            <w:top w:val="none" w:sz="0" w:space="0" w:color="auto"/>
                            <w:left w:val="none" w:sz="0" w:space="0" w:color="auto"/>
                            <w:bottom w:val="none" w:sz="0" w:space="0" w:color="auto"/>
                            <w:right w:val="none" w:sz="0" w:space="0" w:color="auto"/>
                          </w:divBdr>
                          <w:divsChild>
                            <w:div w:id="130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829126">
      <w:bodyDiv w:val="1"/>
      <w:marLeft w:val="0"/>
      <w:marRight w:val="0"/>
      <w:marTop w:val="0"/>
      <w:marBottom w:val="0"/>
      <w:divBdr>
        <w:top w:val="none" w:sz="0" w:space="0" w:color="auto"/>
        <w:left w:val="none" w:sz="0" w:space="0" w:color="auto"/>
        <w:bottom w:val="none" w:sz="0" w:space="0" w:color="auto"/>
        <w:right w:val="none" w:sz="0" w:space="0" w:color="auto"/>
      </w:divBdr>
      <w:divsChild>
        <w:div w:id="633171127">
          <w:marLeft w:val="0"/>
          <w:marRight w:val="0"/>
          <w:marTop w:val="0"/>
          <w:marBottom w:val="0"/>
          <w:divBdr>
            <w:top w:val="none" w:sz="0" w:space="0" w:color="auto"/>
            <w:left w:val="none" w:sz="0" w:space="0" w:color="auto"/>
            <w:bottom w:val="none" w:sz="0" w:space="0" w:color="auto"/>
            <w:right w:val="none" w:sz="0" w:space="0" w:color="auto"/>
          </w:divBdr>
          <w:divsChild>
            <w:div w:id="1918978978">
              <w:marLeft w:val="0"/>
              <w:marRight w:val="0"/>
              <w:marTop w:val="0"/>
              <w:marBottom w:val="0"/>
              <w:divBdr>
                <w:top w:val="none" w:sz="0" w:space="0" w:color="auto"/>
                <w:left w:val="none" w:sz="0" w:space="0" w:color="auto"/>
                <w:bottom w:val="none" w:sz="0" w:space="0" w:color="auto"/>
                <w:right w:val="none" w:sz="0" w:space="0" w:color="auto"/>
              </w:divBdr>
              <w:divsChild>
                <w:div w:id="1253011343">
                  <w:marLeft w:val="0"/>
                  <w:marRight w:val="0"/>
                  <w:marTop w:val="0"/>
                  <w:marBottom w:val="0"/>
                  <w:divBdr>
                    <w:top w:val="none" w:sz="0" w:space="0" w:color="auto"/>
                    <w:left w:val="none" w:sz="0" w:space="0" w:color="auto"/>
                    <w:bottom w:val="none" w:sz="0" w:space="0" w:color="auto"/>
                    <w:right w:val="none" w:sz="0" w:space="0" w:color="auto"/>
                  </w:divBdr>
                  <w:divsChild>
                    <w:div w:id="521210896">
                      <w:marLeft w:val="0"/>
                      <w:marRight w:val="0"/>
                      <w:marTop w:val="0"/>
                      <w:marBottom w:val="0"/>
                      <w:divBdr>
                        <w:top w:val="none" w:sz="0" w:space="0" w:color="auto"/>
                        <w:left w:val="none" w:sz="0" w:space="0" w:color="auto"/>
                        <w:bottom w:val="none" w:sz="0" w:space="0" w:color="auto"/>
                        <w:right w:val="none" w:sz="0" w:space="0" w:color="auto"/>
                      </w:divBdr>
                      <w:divsChild>
                        <w:div w:id="982005037">
                          <w:marLeft w:val="0"/>
                          <w:marRight w:val="0"/>
                          <w:marTop w:val="0"/>
                          <w:marBottom w:val="0"/>
                          <w:divBdr>
                            <w:top w:val="none" w:sz="0" w:space="0" w:color="auto"/>
                            <w:left w:val="none" w:sz="0" w:space="0" w:color="auto"/>
                            <w:bottom w:val="none" w:sz="0" w:space="0" w:color="auto"/>
                            <w:right w:val="none" w:sz="0" w:space="0" w:color="auto"/>
                          </w:divBdr>
                          <w:divsChild>
                            <w:div w:id="4510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10681">
      <w:bodyDiv w:val="1"/>
      <w:marLeft w:val="0"/>
      <w:marRight w:val="0"/>
      <w:marTop w:val="0"/>
      <w:marBottom w:val="0"/>
      <w:divBdr>
        <w:top w:val="none" w:sz="0" w:space="0" w:color="auto"/>
        <w:left w:val="none" w:sz="0" w:space="0" w:color="auto"/>
        <w:bottom w:val="none" w:sz="0" w:space="0" w:color="auto"/>
        <w:right w:val="none" w:sz="0" w:space="0" w:color="auto"/>
      </w:divBdr>
      <w:divsChild>
        <w:div w:id="1250390270">
          <w:marLeft w:val="0"/>
          <w:marRight w:val="0"/>
          <w:marTop w:val="0"/>
          <w:marBottom w:val="0"/>
          <w:divBdr>
            <w:top w:val="none" w:sz="0" w:space="0" w:color="auto"/>
            <w:left w:val="none" w:sz="0" w:space="0" w:color="auto"/>
            <w:bottom w:val="none" w:sz="0" w:space="0" w:color="auto"/>
            <w:right w:val="none" w:sz="0" w:space="0" w:color="auto"/>
          </w:divBdr>
          <w:divsChild>
            <w:div w:id="414478399">
              <w:marLeft w:val="0"/>
              <w:marRight w:val="0"/>
              <w:marTop w:val="0"/>
              <w:marBottom w:val="0"/>
              <w:divBdr>
                <w:top w:val="none" w:sz="0" w:space="0" w:color="auto"/>
                <w:left w:val="none" w:sz="0" w:space="0" w:color="auto"/>
                <w:bottom w:val="none" w:sz="0" w:space="0" w:color="auto"/>
                <w:right w:val="none" w:sz="0" w:space="0" w:color="auto"/>
              </w:divBdr>
              <w:divsChild>
                <w:div w:id="691885202">
                  <w:marLeft w:val="0"/>
                  <w:marRight w:val="0"/>
                  <w:marTop w:val="0"/>
                  <w:marBottom w:val="0"/>
                  <w:divBdr>
                    <w:top w:val="none" w:sz="0" w:space="0" w:color="auto"/>
                    <w:left w:val="none" w:sz="0" w:space="0" w:color="auto"/>
                    <w:bottom w:val="none" w:sz="0" w:space="0" w:color="auto"/>
                    <w:right w:val="none" w:sz="0" w:space="0" w:color="auto"/>
                  </w:divBdr>
                  <w:divsChild>
                    <w:div w:id="1417166620">
                      <w:marLeft w:val="0"/>
                      <w:marRight w:val="0"/>
                      <w:marTop w:val="0"/>
                      <w:marBottom w:val="0"/>
                      <w:divBdr>
                        <w:top w:val="none" w:sz="0" w:space="0" w:color="auto"/>
                        <w:left w:val="none" w:sz="0" w:space="0" w:color="auto"/>
                        <w:bottom w:val="none" w:sz="0" w:space="0" w:color="auto"/>
                        <w:right w:val="none" w:sz="0" w:space="0" w:color="auto"/>
                      </w:divBdr>
                      <w:divsChild>
                        <w:div w:id="1770617393">
                          <w:marLeft w:val="0"/>
                          <w:marRight w:val="0"/>
                          <w:marTop w:val="0"/>
                          <w:marBottom w:val="0"/>
                          <w:divBdr>
                            <w:top w:val="none" w:sz="0" w:space="0" w:color="auto"/>
                            <w:left w:val="none" w:sz="0" w:space="0" w:color="auto"/>
                            <w:bottom w:val="none" w:sz="0" w:space="0" w:color="auto"/>
                            <w:right w:val="none" w:sz="0" w:space="0" w:color="auto"/>
                          </w:divBdr>
                          <w:divsChild>
                            <w:div w:id="1601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14234979">
      <w:bodyDiv w:val="1"/>
      <w:marLeft w:val="0"/>
      <w:marRight w:val="0"/>
      <w:marTop w:val="0"/>
      <w:marBottom w:val="0"/>
      <w:divBdr>
        <w:top w:val="none" w:sz="0" w:space="0" w:color="auto"/>
        <w:left w:val="none" w:sz="0" w:space="0" w:color="auto"/>
        <w:bottom w:val="none" w:sz="0" w:space="0" w:color="auto"/>
        <w:right w:val="none" w:sz="0" w:space="0" w:color="auto"/>
      </w:divBdr>
      <w:divsChild>
        <w:div w:id="1680959548">
          <w:marLeft w:val="0"/>
          <w:marRight w:val="0"/>
          <w:marTop w:val="0"/>
          <w:marBottom w:val="0"/>
          <w:divBdr>
            <w:top w:val="none" w:sz="0" w:space="0" w:color="auto"/>
            <w:left w:val="none" w:sz="0" w:space="0" w:color="auto"/>
            <w:bottom w:val="none" w:sz="0" w:space="0" w:color="auto"/>
            <w:right w:val="none" w:sz="0" w:space="0" w:color="auto"/>
          </w:divBdr>
          <w:divsChild>
            <w:div w:id="1322928319">
              <w:marLeft w:val="0"/>
              <w:marRight w:val="0"/>
              <w:marTop w:val="0"/>
              <w:marBottom w:val="0"/>
              <w:divBdr>
                <w:top w:val="none" w:sz="0" w:space="0" w:color="auto"/>
                <w:left w:val="none" w:sz="0" w:space="0" w:color="auto"/>
                <w:bottom w:val="none" w:sz="0" w:space="0" w:color="auto"/>
                <w:right w:val="none" w:sz="0" w:space="0" w:color="auto"/>
              </w:divBdr>
              <w:divsChild>
                <w:div w:id="291332428">
                  <w:marLeft w:val="0"/>
                  <w:marRight w:val="0"/>
                  <w:marTop w:val="0"/>
                  <w:marBottom w:val="0"/>
                  <w:divBdr>
                    <w:top w:val="none" w:sz="0" w:space="0" w:color="auto"/>
                    <w:left w:val="none" w:sz="0" w:space="0" w:color="auto"/>
                    <w:bottom w:val="none" w:sz="0" w:space="0" w:color="auto"/>
                    <w:right w:val="none" w:sz="0" w:space="0" w:color="auto"/>
                  </w:divBdr>
                  <w:divsChild>
                    <w:div w:id="547957300">
                      <w:marLeft w:val="0"/>
                      <w:marRight w:val="0"/>
                      <w:marTop w:val="0"/>
                      <w:marBottom w:val="0"/>
                      <w:divBdr>
                        <w:top w:val="none" w:sz="0" w:space="0" w:color="auto"/>
                        <w:left w:val="none" w:sz="0" w:space="0" w:color="auto"/>
                        <w:bottom w:val="none" w:sz="0" w:space="0" w:color="auto"/>
                        <w:right w:val="none" w:sz="0" w:space="0" w:color="auto"/>
                      </w:divBdr>
                      <w:divsChild>
                        <w:div w:id="1924992415">
                          <w:marLeft w:val="0"/>
                          <w:marRight w:val="0"/>
                          <w:marTop w:val="0"/>
                          <w:marBottom w:val="0"/>
                          <w:divBdr>
                            <w:top w:val="none" w:sz="0" w:space="0" w:color="auto"/>
                            <w:left w:val="none" w:sz="0" w:space="0" w:color="auto"/>
                            <w:bottom w:val="none" w:sz="0" w:space="0" w:color="auto"/>
                            <w:right w:val="none" w:sz="0" w:space="0" w:color="auto"/>
                          </w:divBdr>
                          <w:divsChild>
                            <w:div w:id="10869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75068">
      <w:bodyDiv w:val="1"/>
      <w:marLeft w:val="0"/>
      <w:marRight w:val="0"/>
      <w:marTop w:val="0"/>
      <w:marBottom w:val="0"/>
      <w:divBdr>
        <w:top w:val="none" w:sz="0" w:space="0" w:color="auto"/>
        <w:left w:val="none" w:sz="0" w:space="0" w:color="auto"/>
        <w:bottom w:val="none" w:sz="0" w:space="0" w:color="auto"/>
        <w:right w:val="none" w:sz="0" w:space="0" w:color="auto"/>
      </w:divBdr>
      <w:divsChild>
        <w:div w:id="469127747">
          <w:marLeft w:val="0"/>
          <w:marRight w:val="0"/>
          <w:marTop w:val="0"/>
          <w:marBottom w:val="0"/>
          <w:divBdr>
            <w:top w:val="none" w:sz="0" w:space="0" w:color="auto"/>
            <w:left w:val="none" w:sz="0" w:space="0" w:color="auto"/>
            <w:bottom w:val="none" w:sz="0" w:space="0" w:color="auto"/>
            <w:right w:val="none" w:sz="0" w:space="0" w:color="auto"/>
          </w:divBdr>
          <w:divsChild>
            <w:div w:id="1637102957">
              <w:marLeft w:val="0"/>
              <w:marRight w:val="0"/>
              <w:marTop w:val="0"/>
              <w:marBottom w:val="0"/>
              <w:divBdr>
                <w:top w:val="none" w:sz="0" w:space="0" w:color="auto"/>
                <w:left w:val="none" w:sz="0" w:space="0" w:color="auto"/>
                <w:bottom w:val="none" w:sz="0" w:space="0" w:color="auto"/>
                <w:right w:val="none" w:sz="0" w:space="0" w:color="auto"/>
              </w:divBdr>
              <w:divsChild>
                <w:div w:id="57361579">
                  <w:marLeft w:val="0"/>
                  <w:marRight w:val="0"/>
                  <w:marTop w:val="0"/>
                  <w:marBottom w:val="0"/>
                  <w:divBdr>
                    <w:top w:val="none" w:sz="0" w:space="0" w:color="auto"/>
                    <w:left w:val="none" w:sz="0" w:space="0" w:color="auto"/>
                    <w:bottom w:val="none" w:sz="0" w:space="0" w:color="auto"/>
                    <w:right w:val="none" w:sz="0" w:space="0" w:color="auto"/>
                  </w:divBdr>
                  <w:divsChild>
                    <w:div w:id="62215344">
                      <w:marLeft w:val="0"/>
                      <w:marRight w:val="0"/>
                      <w:marTop w:val="0"/>
                      <w:marBottom w:val="0"/>
                      <w:divBdr>
                        <w:top w:val="none" w:sz="0" w:space="0" w:color="auto"/>
                        <w:left w:val="none" w:sz="0" w:space="0" w:color="auto"/>
                        <w:bottom w:val="none" w:sz="0" w:space="0" w:color="auto"/>
                        <w:right w:val="none" w:sz="0" w:space="0" w:color="auto"/>
                      </w:divBdr>
                      <w:divsChild>
                        <w:div w:id="1297028287">
                          <w:marLeft w:val="0"/>
                          <w:marRight w:val="0"/>
                          <w:marTop w:val="0"/>
                          <w:marBottom w:val="0"/>
                          <w:divBdr>
                            <w:top w:val="none" w:sz="0" w:space="0" w:color="auto"/>
                            <w:left w:val="none" w:sz="0" w:space="0" w:color="auto"/>
                            <w:bottom w:val="none" w:sz="0" w:space="0" w:color="auto"/>
                            <w:right w:val="none" w:sz="0" w:space="0" w:color="auto"/>
                          </w:divBdr>
                          <w:divsChild>
                            <w:div w:id="16639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50600">
      <w:bodyDiv w:val="1"/>
      <w:marLeft w:val="0"/>
      <w:marRight w:val="0"/>
      <w:marTop w:val="0"/>
      <w:marBottom w:val="0"/>
      <w:divBdr>
        <w:top w:val="none" w:sz="0" w:space="0" w:color="auto"/>
        <w:left w:val="none" w:sz="0" w:space="0" w:color="auto"/>
        <w:bottom w:val="none" w:sz="0" w:space="0" w:color="auto"/>
        <w:right w:val="none" w:sz="0" w:space="0" w:color="auto"/>
      </w:divBdr>
      <w:divsChild>
        <w:div w:id="1848783708">
          <w:marLeft w:val="0"/>
          <w:marRight w:val="0"/>
          <w:marTop w:val="0"/>
          <w:marBottom w:val="0"/>
          <w:divBdr>
            <w:top w:val="none" w:sz="0" w:space="0" w:color="auto"/>
            <w:left w:val="none" w:sz="0" w:space="0" w:color="auto"/>
            <w:bottom w:val="none" w:sz="0" w:space="0" w:color="auto"/>
            <w:right w:val="none" w:sz="0" w:space="0" w:color="auto"/>
          </w:divBdr>
          <w:divsChild>
            <w:div w:id="909000548">
              <w:marLeft w:val="0"/>
              <w:marRight w:val="0"/>
              <w:marTop w:val="0"/>
              <w:marBottom w:val="0"/>
              <w:divBdr>
                <w:top w:val="none" w:sz="0" w:space="0" w:color="auto"/>
                <w:left w:val="none" w:sz="0" w:space="0" w:color="auto"/>
                <w:bottom w:val="none" w:sz="0" w:space="0" w:color="auto"/>
                <w:right w:val="none" w:sz="0" w:space="0" w:color="auto"/>
              </w:divBdr>
              <w:divsChild>
                <w:div w:id="1964067740">
                  <w:marLeft w:val="0"/>
                  <w:marRight w:val="0"/>
                  <w:marTop w:val="0"/>
                  <w:marBottom w:val="0"/>
                  <w:divBdr>
                    <w:top w:val="none" w:sz="0" w:space="0" w:color="auto"/>
                    <w:left w:val="none" w:sz="0" w:space="0" w:color="auto"/>
                    <w:bottom w:val="none" w:sz="0" w:space="0" w:color="auto"/>
                    <w:right w:val="none" w:sz="0" w:space="0" w:color="auto"/>
                  </w:divBdr>
                  <w:divsChild>
                    <w:div w:id="428739411">
                      <w:marLeft w:val="0"/>
                      <w:marRight w:val="0"/>
                      <w:marTop w:val="0"/>
                      <w:marBottom w:val="0"/>
                      <w:divBdr>
                        <w:top w:val="none" w:sz="0" w:space="0" w:color="auto"/>
                        <w:left w:val="none" w:sz="0" w:space="0" w:color="auto"/>
                        <w:bottom w:val="none" w:sz="0" w:space="0" w:color="auto"/>
                        <w:right w:val="none" w:sz="0" w:space="0" w:color="auto"/>
                      </w:divBdr>
                      <w:divsChild>
                        <w:div w:id="1096749621">
                          <w:marLeft w:val="0"/>
                          <w:marRight w:val="0"/>
                          <w:marTop w:val="0"/>
                          <w:marBottom w:val="0"/>
                          <w:divBdr>
                            <w:top w:val="none" w:sz="0" w:space="0" w:color="auto"/>
                            <w:left w:val="none" w:sz="0" w:space="0" w:color="auto"/>
                            <w:bottom w:val="none" w:sz="0" w:space="0" w:color="auto"/>
                            <w:right w:val="none" w:sz="0" w:space="0" w:color="auto"/>
                          </w:divBdr>
                          <w:divsChild>
                            <w:div w:id="6483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DEE0-F9B7-4A33-A6D5-F1C677000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894D08-A542-499D-AC3F-EF8D055DA0B4}">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60BF936-2DAB-4F51-AEA3-7308C58088A9}">
  <ds:schemaRefs>
    <ds:schemaRef ds:uri="http://schemas.microsoft.com/sharepoint/v3/contenttype/forms"/>
  </ds:schemaRefs>
</ds:datastoreItem>
</file>

<file path=customXml/itemProps4.xml><?xml version="1.0" encoding="utf-8"?>
<ds:datastoreItem xmlns:ds="http://schemas.openxmlformats.org/officeDocument/2006/customXml" ds:itemID="{1009B2E1-F3BE-4E2C-B69C-610670A5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18588</Words>
  <Characters>105955</Characters>
  <Application>Microsoft Office Word</Application>
  <DocSecurity>0</DocSecurity>
  <Lines>882</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124295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2015-10-16T09:21:00Z</dcterms:created>
  <dcterms:modified xsi:type="dcterms:W3CDTF">2015-10-16T09:21:00Z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