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560" w:rsidRDefault="00D425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ТЕЗИСЫ ВЫСТУПЛЕНИЯ</w:t>
      </w:r>
    </w:p>
    <w:p w:rsidR="00D42560" w:rsidRDefault="00D425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560" w:rsidRDefault="00D4256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Уважаемый суд, уважаемые участники процесса!</w:t>
      </w:r>
    </w:p>
    <w:p w:rsidR="00D42560" w:rsidRDefault="00D42560">
      <w:pPr>
        <w:rPr>
          <w:rFonts w:ascii="Times New Roman" w:hAnsi="Times New Roman" w:cs="Times New Roman"/>
          <w:i/>
          <w:sz w:val="24"/>
          <w:szCs w:val="24"/>
        </w:rPr>
      </w:pPr>
    </w:p>
    <w:p w:rsidR="00D42560" w:rsidRDefault="00D42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перед нами стоит задача, от решения которой зависит возможность реализации неотъемлемых и неотчуждаемых прав и свобод человека, – права на свободу мысли, свободу слова и убеждений, свободу выражать свое мнение, даже если это мнение отлично, а иногда и полностью противоположно мнению властей, права свободно высказывать свою и доводить позицию до международных институтов, созданных с целью защиты прав и свобод человека и гражданина.</w:t>
      </w:r>
    </w:p>
    <w:p w:rsidR="00D42560" w:rsidRDefault="00D42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примере данного процесса мы видим попытки наступления на это право, попытки его ограничения и ущемления любыми возможными способами, и обжалуемое решение суда — яркий тому пример, демонстрация того, что организация, чьи убеждения и мнение воспринимаются властью как оппозиционная деятельность, может быть подвергнута преследованию и дополнительным бюрократическим ограничениям в виде включения в «реестр иностранных агентов», а в случае отказа включиться в реестр руководитель организации может быть подвергнут административному и уголовному преследованию и наказанию.</w:t>
      </w:r>
    </w:p>
    <w:p w:rsidR="00D42560" w:rsidRDefault="00D42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Уважаемый суд, уважаемый истец – господин прокурор, обратившийся в суд в защиту неопределенного круга лиц, прежде всего, мы оспариваем наличие у прокурора права обращаться в суд с таким иском в защиту неопределенного круга лиц.</w:t>
      </w:r>
    </w:p>
    <w:p w:rsidR="00D42560" w:rsidRDefault="00D42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деле нет ни одного доказательства, кроме общей ссылки на п.3 ст.35 Федерального Закона «О прокуратуре РФ» на неограниченные полномочия и возможности прокурора защищать неопределенный круг лиц, но в силу Закона «О прокуратуре РФ», это возможно только в строго установленных, предусмотренных законом случаях. Безусловно, нет проблем, когда прокурор защищает потерпевших от преступлений или в гражданском процессе права неопределенного круга лиц, пострадавших от загрязнений или выбросов в атмосферу или незаконного строительства в природоохранных зонах, от разрушения объектов культурного наследия. В нашем же случае отсутствуют доказательства нарушения чьих-либо прав, а с точки зрения АДЦ «Мемориал», имеют место ложно понятые интересы государства и ущемления прав организации, которые еще могут быть восстановлены Вашим судебным решением.</w:t>
      </w:r>
    </w:p>
    <w:p w:rsidR="00D42560" w:rsidRDefault="00D42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именно права неопределенного круга лица были нарушены, в чем именно выражается это нарушение прав, в чем заключаются интересы неопределенного круга лиц, в защиту которых выступает прокурор, и почему данный неопределенный круг лиц нуждается в защите от того, что АДЦ «Мемориал», действуя в соответствии с нормами международного договора и в соответствии с предусмотренным Конвенцией против пыток правом  направил  в Комитет ООН Отчет «Цыгане, мигранты, активисты: жертвы полицейского произвола»? На этот вопрос ответа в материалах дела нет. Возможно, неустановленные лица, которых защищает прокурор, страдают от того, что их слух режет сочетание слов «цыгане, мигранты активисты», или от того, что они стали жертвами произвола, а тем более жертвами полицейского произвола. </w:t>
      </w:r>
    </w:p>
    <w:p w:rsidR="00D42560" w:rsidRDefault="00D42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следовать логике решения, это именно так, поскольку критическое мнение организации по проблеме мигрантов, активистов, законов о меньшинствах и об НПО послужило основанием для обязания организации поставить на себя клеймо «иностранного агента».</w:t>
      </w:r>
    </w:p>
    <w:p w:rsidR="00D42560" w:rsidRDefault="00D42560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суде первой инстанции мы заявляли соответствующие  ходатайства, мы заявляли, что требования ч.3 ст.131 ГПК РФ при предъявлении иска не были соблюдены. В иске к АДЦ не конкретизировано, какие именно права и интересы неопределённого круга лиц и на основании какого закона (иного нормативного правового акта) защищает прокурор. </w:t>
      </w:r>
    </w:p>
    <w:p w:rsidR="00D42560" w:rsidRDefault="00D42560">
      <w:pPr>
        <w:pStyle w:val="NormalWeb1"/>
        <w:spacing w:after="0" w:line="144" w:lineRule="atLeast"/>
        <w:jc w:val="both"/>
      </w:pPr>
      <w:r>
        <w:t>Как указал Верховный суд РФ в кассационном определении от 17 июля 2012 года № 5-КГ 12-36, с</w:t>
      </w:r>
      <w:r>
        <w:rPr>
          <w:color w:val="000000"/>
        </w:rPr>
        <w:t xml:space="preserve">огласно части 3 статьи 131 ГПК Российской Федерации в заявлении, предъявляемом прокурором в защиту интересов Российской Федерации или в защиту прав, свобод и законных интересов неопределенного круга лиц, </w:t>
      </w:r>
      <w:r>
        <w:rPr>
          <w:b/>
          <w:color w:val="000000"/>
        </w:rPr>
        <w:t>должно быть указано, в чем конкретно заключаются их интересы, какое право нарушено, а также должна содержаться ссылка на закон или иной нормативный правовой акт, предусматривающий способы защиты этих интересов.</w:t>
      </w:r>
    </w:p>
    <w:p w:rsidR="00D42560" w:rsidRDefault="00D425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2560" w:rsidRDefault="00D42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говорили, что при обращении прокурора с исковыми заявлениями требования ч.3 ст.131 ГПК РФ нарушены, что представляет собой основание для отмены обжалуемого решения суда об обязании АДЦ «Мемориал» включиться в реестр агентов.</w:t>
      </w:r>
    </w:p>
    <w:p w:rsidR="00D42560" w:rsidRDefault="00D42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Оспаривая право прокурора на обращение с данным иском, мы также указываем на незаконность и необоснованность проведенной прокурорской проверки. Суд, вопреки имеющимся в деле вступившим в законную силу решениям мирового судьи судебного участка № 8 Санкт-Петербурга (Том 1, л.д.242-247) и определению судьи Ленинского районного суда Санкт-Петербурга от 07.10.2013 (Том 2, л.д.181-189), подтвержденных Городским судом Санкт-Петербурга в порядке надзора, проигнорировал довод о том, что прокурорская проверка была проведена с нарушениями действующего законодательства, в частности, отсутствуют сведения о подтверждении полномочий помощника прокурора Невского района Санкт-Петербурга на осуществление проверки в Адмиралтейском районе  (см. том 1 л.д.48 рапорт).</w:t>
      </w:r>
    </w:p>
    <w:p w:rsidR="00D42560" w:rsidRDefault="00D42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силу ст.19 Закона «О прокуратуре РФ», приказа Генеральной прокуратуры РФ от 21.10.1996 № 57 «Об организационных основах деятельности прокуратур городов с районным делением», </w:t>
      </w:r>
      <w:r>
        <w:rPr>
          <w:rFonts w:ascii="Times New Roman" w:hAnsi="Times New Roman" w:cs="Times New Roman"/>
          <w:b/>
          <w:sz w:val="24"/>
          <w:szCs w:val="24"/>
        </w:rPr>
        <w:t>рапорт помощника прокурора Невского района прокурору Адмиралтейского района не является надлежащим документом, подтверждающим его полномочия на проведение проверки организации и истребование документов.</w:t>
      </w:r>
    </w:p>
    <w:p w:rsidR="00D42560" w:rsidRDefault="00D42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того, проверяя законодательство о противодействии экстремизму, прокурор Невского района вышел за пределы задания прокуратуры Санкт-Петербурга от 06.03.2013 года и за пределы данных ему полномочий, поскольку в действительности прокурор Невского района в нарушение указанная вышестоящей прокуратуры проверял исполнение законодательства о некоммерческих организациях, а не о противодействии экстремизму,  т.о. результаты проверки, а соответственно, и полученные в ходе проверки доказательства, не могут быть положены в основу решения.</w:t>
      </w:r>
    </w:p>
    <w:p w:rsidR="00D42560" w:rsidRDefault="00D42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 установил, что сбор информации для Отчета, публикация Отчета, получение денежных средств  и представление Отчета в Комитет против пыток </w:t>
      </w:r>
      <w:r>
        <w:rPr>
          <w:rFonts w:ascii="Times New Roman" w:hAnsi="Times New Roman" w:cs="Times New Roman"/>
          <w:b/>
          <w:sz w:val="24"/>
          <w:szCs w:val="24"/>
        </w:rPr>
        <w:t>имело место до введения в действия Закона</w:t>
      </w:r>
      <w:r>
        <w:rPr>
          <w:rFonts w:ascii="Times New Roman" w:hAnsi="Times New Roman" w:cs="Times New Roman"/>
          <w:sz w:val="24"/>
          <w:szCs w:val="24"/>
        </w:rPr>
        <w:t xml:space="preserve"> «О некоммерческих организациях». </w:t>
      </w:r>
      <w:r>
        <w:rPr>
          <w:rFonts w:ascii="Times New Roman" w:hAnsi="Times New Roman" w:cs="Times New Roman"/>
          <w:b/>
          <w:sz w:val="24"/>
          <w:szCs w:val="24"/>
        </w:rPr>
        <w:t>09 ноября 2012</w:t>
      </w:r>
      <w:r>
        <w:rPr>
          <w:rFonts w:ascii="Times New Roman" w:hAnsi="Times New Roman" w:cs="Times New Roman"/>
          <w:sz w:val="24"/>
          <w:szCs w:val="24"/>
        </w:rPr>
        <w:t xml:space="preserve"> года Отчет был создан в рамках общей проектной деятельности организации и стратегии развития по защите прав и свобод уязвимых групп. Отчет был распространен в Комитете против пыток в Женеве </w:t>
      </w:r>
      <w:r w:rsidRPr="002475A1">
        <w:rPr>
          <w:rFonts w:ascii="Times New Roman" w:hAnsi="Times New Roman" w:cs="Times New Roman"/>
          <w:b/>
          <w:sz w:val="24"/>
          <w:szCs w:val="24"/>
        </w:rPr>
        <w:t>18 н</w:t>
      </w:r>
      <w:r>
        <w:rPr>
          <w:rFonts w:ascii="Times New Roman" w:hAnsi="Times New Roman" w:cs="Times New Roman"/>
          <w:b/>
          <w:sz w:val="24"/>
          <w:szCs w:val="24"/>
        </w:rPr>
        <w:t xml:space="preserve">оября 2012 года </w:t>
      </w:r>
      <w:r>
        <w:rPr>
          <w:rFonts w:ascii="Times New Roman" w:hAnsi="Times New Roman" w:cs="Times New Roman"/>
          <w:sz w:val="24"/>
          <w:szCs w:val="24"/>
        </w:rPr>
        <w:t>(том 1, л.д.147), т.е. до введения в действие Закона, до 21 ноября 2012 года. Это подтверждается имеющимися в деле доказательствами (том 1, л.д.147 и далее счет-фактура, накладные).</w:t>
      </w:r>
    </w:p>
    <w:p w:rsidR="00D42560" w:rsidRDefault="00D42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Однако, установив данные факты, прокурор и суд их проигнорировали, указав, что деятельность АДЦ была постоянной, она не приостанавливалась и велась с 2007 года на планомерной основе, а после публикации Отчета в сети Интернет она тем более приобрела характер деятельности «иностранного агента», то есть «агентом» АДЦ «Мемориал», был еще с 2007 года, но </w:t>
      </w:r>
      <w:r>
        <w:rPr>
          <w:rFonts w:ascii="Times New Roman" w:hAnsi="Times New Roman" w:cs="Times New Roman"/>
          <w:b/>
          <w:sz w:val="24"/>
          <w:szCs w:val="24"/>
        </w:rPr>
        <w:t xml:space="preserve">единственное </w:t>
      </w:r>
      <w:r>
        <w:rPr>
          <w:rFonts w:ascii="Times New Roman" w:hAnsi="Times New Roman" w:cs="Times New Roman"/>
          <w:sz w:val="24"/>
          <w:szCs w:val="24"/>
        </w:rPr>
        <w:t xml:space="preserve">основание для признания АДЦ «Мемориал» иностранным агентом явилось размещение Организацией в сети Интернет Отчета, предоставленного в Комитет против пыток. </w:t>
      </w:r>
    </w:p>
    <w:p w:rsidR="00D42560" w:rsidRDefault="00D42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такого крамольного в Отчете признано и прокурором, и судом как влияние на принятие государственными органами решений, направленных на изменение государственной политики?</w:t>
      </w:r>
    </w:p>
    <w:p w:rsidR="00D42560" w:rsidRDefault="00D42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в исковом заявлении, ни в представленных материалах дела доказательств этому не приведено, в иске и в решении нет ни одной ссылки на конкретное высказывание, цитату, предложение из Отчета, подтверждающие его влияние  на изменение государственной политики России. Прокурором таких сведений и ссылок не представлено.</w:t>
      </w:r>
    </w:p>
    <w:p w:rsidR="00D42560" w:rsidRDefault="00D42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сделала защита, получив и предоставив суду первой инстанции заключения специалистов, имеющих специальные научные познания, опровергающие вышеизложенные голословные выводы прокурора и суда.</w:t>
      </w:r>
    </w:p>
    <w:p w:rsidR="00D42560" w:rsidRDefault="00D42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Специалисты, анализируя и исследуя текст с использованием специальных релевантных научных методик, на основе имеющихся у них научных познаний, пришли к однозначному выводу о том, что в Отчете </w:t>
      </w:r>
      <w:r>
        <w:rPr>
          <w:rFonts w:ascii="Times New Roman" w:hAnsi="Times New Roman" w:cs="Times New Roman"/>
          <w:b/>
          <w:sz w:val="24"/>
          <w:szCs w:val="24"/>
        </w:rPr>
        <w:t xml:space="preserve">не дается негативная </w:t>
      </w:r>
      <w:r>
        <w:rPr>
          <w:rFonts w:ascii="Times New Roman" w:hAnsi="Times New Roman" w:cs="Times New Roman"/>
          <w:sz w:val="24"/>
          <w:szCs w:val="24"/>
        </w:rPr>
        <w:t xml:space="preserve">оценка </w:t>
      </w:r>
      <w:r>
        <w:rPr>
          <w:rFonts w:ascii="Times New Roman" w:hAnsi="Times New Roman" w:cs="Times New Roman"/>
          <w:b/>
          <w:sz w:val="24"/>
          <w:szCs w:val="24"/>
        </w:rPr>
        <w:t xml:space="preserve">всему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законодательству Российской Федерации; мнение о признании деятельности государственных структур и органов незаконной </w:t>
      </w:r>
      <w:r>
        <w:rPr>
          <w:rFonts w:ascii="Times New Roman" w:hAnsi="Times New Roman" w:cs="Times New Roman"/>
          <w:b/>
          <w:sz w:val="24"/>
          <w:szCs w:val="24"/>
        </w:rPr>
        <w:t>не выражается</w:t>
      </w:r>
      <w:r>
        <w:rPr>
          <w:rFonts w:ascii="Times New Roman" w:hAnsi="Times New Roman" w:cs="Times New Roman"/>
          <w:sz w:val="24"/>
          <w:szCs w:val="24"/>
        </w:rPr>
        <w:t xml:space="preserve">;  сотрудники </w:t>
      </w:r>
      <w:r>
        <w:rPr>
          <w:rFonts w:ascii="Times New Roman" w:hAnsi="Times New Roman" w:cs="Times New Roman"/>
          <w:b/>
          <w:sz w:val="24"/>
          <w:szCs w:val="24"/>
        </w:rPr>
        <w:t xml:space="preserve">МВД не отнесены </w:t>
      </w:r>
      <w:r>
        <w:rPr>
          <w:rFonts w:ascii="Times New Roman" w:hAnsi="Times New Roman" w:cs="Times New Roman"/>
          <w:sz w:val="24"/>
          <w:szCs w:val="24"/>
        </w:rPr>
        <w:t xml:space="preserve">к лицам, нарушающим закон; вывод об осуществлении органами полиции политического контроля и преследования политических активистов </w:t>
      </w:r>
      <w:r>
        <w:rPr>
          <w:rFonts w:ascii="Times New Roman" w:hAnsi="Times New Roman" w:cs="Times New Roman"/>
          <w:b/>
          <w:sz w:val="24"/>
          <w:szCs w:val="24"/>
        </w:rPr>
        <w:t>не делается.</w:t>
      </w:r>
    </w:p>
    <w:p w:rsidR="00D42560" w:rsidRDefault="00D42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Специалистом Д.Дубровским в Заключении от 11.11.2013 (том 2, л.д.107-120) установлено: </w:t>
      </w:r>
      <w:r>
        <w:rPr>
          <w:rFonts w:ascii="Times New Roman" w:hAnsi="Times New Roman" w:cs="Times New Roman"/>
          <w:i/>
          <w:sz w:val="24"/>
          <w:szCs w:val="24"/>
        </w:rPr>
        <w:t xml:space="preserve">«…В  Отчете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выражается мнение авторов на существующие проблемы, связанные с нарушением прав граждан </w:t>
      </w:r>
      <w:r>
        <w:rPr>
          <w:rFonts w:ascii="Times New Roman" w:hAnsi="Times New Roman" w:cs="Times New Roman"/>
          <w:i/>
          <w:sz w:val="24"/>
          <w:szCs w:val="24"/>
        </w:rPr>
        <w:t xml:space="preserve">со стороны отдельных сотрудников правоохранительных органов в РФ; деятельность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отдельных сотрудников полиции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признаются не соответствующей задаче защиты прав и свобод граждан». </w:t>
      </w:r>
    </w:p>
    <w:p w:rsidR="00D42560" w:rsidRDefault="00D42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аналогичному выводу пришла и специалист  Е.Белокурова (том 2, л.д.168-180). Она установила, что в Отчете отсутствуют признаки призыва к противодействию действующей власти, а речь идет о недостаточной для успешной реализации государственной политики,  </w:t>
      </w:r>
      <w:r>
        <w:rPr>
          <w:rFonts w:ascii="Times New Roman" w:hAnsi="Times New Roman" w:cs="Times New Roman"/>
          <w:b/>
          <w:sz w:val="24"/>
          <w:szCs w:val="24"/>
        </w:rPr>
        <w:t>практики работы полиции</w:t>
      </w:r>
      <w:r>
        <w:rPr>
          <w:rFonts w:ascii="Times New Roman" w:hAnsi="Times New Roman" w:cs="Times New Roman"/>
          <w:sz w:val="24"/>
          <w:szCs w:val="24"/>
        </w:rPr>
        <w:t xml:space="preserve"> и иных государственных структур; Отчет ориентирован не на изменение</w:t>
      </w:r>
      <w:r>
        <w:rPr>
          <w:rFonts w:ascii="Times New Roman" w:hAnsi="Times New Roman" w:cs="Times New Roman"/>
          <w:b/>
          <w:sz w:val="24"/>
          <w:szCs w:val="24"/>
        </w:rPr>
        <w:t>, а на привлечение внимания к нарушениям международного и российского законодательства, то есть направлен на совершенствование правоприменительных механизмов.</w:t>
      </w:r>
    </w:p>
    <w:p w:rsidR="00D42560" w:rsidRDefault="00D42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все эти доводы и заключения специалистов были проигнорированы, в назначении комплексной судебной экспертизы, о которой мы ходатайствовали, нам было отказано.</w:t>
      </w:r>
    </w:p>
    <w:p w:rsidR="00D42560" w:rsidRDefault="00D42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маски сброшены, всем ясно, в чем камень преткновения и почему нужно обязать АДЦ «Мемориал» регистрироваться в качестве иностранного агента. Только лишь потому, что организацией </w:t>
      </w:r>
      <w:r>
        <w:rPr>
          <w:rFonts w:ascii="Times New Roman" w:hAnsi="Times New Roman" w:cs="Times New Roman"/>
          <w:b/>
          <w:sz w:val="24"/>
          <w:szCs w:val="24"/>
        </w:rPr>
        <w:t xml:space="preserve">дана негативная оценка деятельности власти, неэффективности работы полиции, имеет место критика государственных структур и органов, проводимых государством реформ, выражается критическое и альтернативное мнение. </w:t>
      </w:r>
      <w:r>
        <w:rPr>
          <w:rFonts w:ascii="Times New Roman" w:hAnsi="Times New Roman" w:cs="Times New Roman"/>
          <w:sz w:val="24"/>
          <w:szCs w:val="24"/>
        </w:rPr>
        <w:t xml:space="preserve">Это указано в решении суда как основание для включения в реестр, и именно это прокурор, а за ним и суд посчитали «агентской деятельностью». И больше не нужно ничего доказывать, не нужно доказывать политическую деятельность организации, не нужно доказывать конкретное влияние на принятие решений, доказывать, как в результате изменилась государственная политика; «выражение критического мнения» в Отчете — вот в чем «агентурная, агентская деятельность» Организации. </w:t>
      </w:r>
    </w:p>
    <w:p w:rsidR="00D42560" w:rsidRDefault="00D42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дело является ярким прецедентом нарушения прав организации, где четко выявляются нарушения ст.10, 11 и 14 Европейской Конвенции О защите прав человека и основных свобод – не равное отношении, наложение дополнительной обязанности включение в реестр, влекущее негативные последствия для организации, за выражения альтернативного, критического мнения и за представление данного критического мнения в международный орган - Комитет против пыток, как того требует международный договор. </w:t>
      </w:r>
    </w:p>
    <w:p w:rsidR="00D42560" w:rsidRDefault="00D42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Даже если данное решение не будет отменено, мы уже победили в глазах всего мирового сообщества, в глазах общества и граждан. Потому что все знают, что такое Комитет ООН против пыток, и все знают, что права на свободу слова и свободу выражения мнения могут быть ограничены только в строго определенных, необходимых, законных случаях (призывы к свержению власти, конституционного строя, разжигание ненависти и вражды), и весь мир знает о предусмотренном международным договором праве НПО в соответствии с.п.1 ст.19 «Конвенции против пыток и других жестоких бесчеловечных или унижающих достоинство видов обращения и наказания» направлять альтернативные доклады в Комитет ООН по правам человека. </w:t>
      </w:r>
    </w:p>
    <w:p w:rsidR="00D42560" w:rsidRDefault="00D42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Прокурор в возражениях указывает: </w:t>
      </w:r>
      <w:r>
        <w:rPr>
          <w:rFonts w:ascii="Times New Roman" w:hAnsi="Times New Roman" w:cs="Times New Roman"/>
          <w:i/>
          <w:sz w:val="24"/>
          <w:szCs w:val="24"/>
        </w:rPr>
        <w:t xml:space="preserve">«После изучение альтернативного доклада 22.11.2012 Комитетом против пыток ООН приняты замечания к реализации РФ международных и региональных документов, а именно подготовлено 38 рекомендаций к РФ, об исполнении которых сообщить Комитету в срок до 23.12.2016. В том числе в замечаниях Комитета ООН РФ рекомендовано: на законодательном уровне внести изменение и предусмотреть уголовную ответственность за пытки как самостоятельный состав преступления; изменить законодательство, требующее от правозащитных организаций, получающих иностранное финансирование, регистрироваться в качестве иностранного агента; отменить поправки, внесенные в определение государственной измены в Уголовном Кодексе, пересмотреть существующую практику и законодательство». </w:t>
      </w:r>
    </w:p>
    <w:p w:rsidR="00D42560" w:rsidRDefault="00D42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есть цель, которую ставила организация, направляя Отчет в Комитет против пыток в соответствии с международным договором,  - достигнута. </w:t>
      </w:r>
    </w:p>
    <w:p w:rsidR="00D42560" w:rsidRDefault="00D42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Конечно, лестно думать, что именно после данного Отчета Комитет пришел к таким ключевым выводам, но этот довод прокурора еще раз подтверждает, что именно за связь с Комитетом против пыток, за выражения альтернативного мнения и вскрытие существующих проблем  АДЦ «Мемориал» обязано включиться в «реестр агентов».</w:t>
      </w:r>
    </w:p>
    <w:p w:rsidR="00D42560" w:rsidRDefault="00D42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Именно в связи с нашим делом Комитет против пыток 23.12.2013 года заявил следующее: </w:t>
      </w:r>
      <w:r>
        <w:rPr>
          <w:rFonts w:ascii="Times New Roman" w:hAnsi="Times New Roman" w:cs="Times New Roman"/>
          <w:i/>
          <w:sz w:val="24"/>
          <w:szCs w:val="24"/>
        </w:rPr>
        <w:t>«Россия является государством — участником Конвенции против пыток и как таковая должна обеспечивать, чтобы никто не преследовался за общение с Комитетом либо предоставлением ему информации. Комитет против пыток выразил озабоченность в отношении любой меры, способной подорвать независимость и деятельность некоммерческих организаций. Действия российских прокуроров против АДЦ «Мемориал» отражают вызывающую беспокойство тенденцию в законодательном регулировании реализации права на свободу собраний, объединения, слова и информации в России».</w:t>
      </w:r>
    </w:p>
    <w:p w:rsidR="00D42560" w:rsidRDefault="00D42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Безусловно, в данном деле налицо различное отношение к тем, кто поддерживает власть и проводимую властью политику, и к тем, кто критикует власть или выражает неугодное властям мнение, кто обращает внимание общества, международных организаций, межгосударственных институтов на существующие проблемы, кто позволяет себе усомниться в правильности принятых законов и всех действий властей.</w:t>
      </w:r>
    </w:p>
    <w:p w:rsidR="00D42560" w:rsidRDefault="00D42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таким общественным организациям особое отношение – они обязаны включаться в реестр, быть учтены и поименованы, быть «под колпаком», а в результате терпеть дополнительные ограничения и ущемления, и это уже дискриминация по признаку выражения мнения, преследование за инакомыслие, что представляет собой нарушение ст.14 Европейской Конвенции в свете ее статей 10 и 11. </w:t>
      </w:r>
    </w:p>
    <w:p w:rsidR="00D42560" w:rsidRDefault="00D42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Казус этого дела в том, что Антидискриминационный центр «Мемориал», цель деятельности которого защищать жертв дискриминации, при вступлении решения, вынесенного в день Конституции в законную силу, сам становится </w:t>
      </w:r>
      <w:r>
        <w:rPr>
          <w:rFonts w:ascii="Times New Roman" w:hAnsi="Times New Roman" w:cs="Times New Roman"/>
          <w:b/>
          <w:sz w:val="24"/>
          <w:szCs w:val="24"/>
        </w:rPr>
        <w:t>первой жертвой дискриминации в связи с применением Закона «об иностранных агентах»</w:t>
      </w:r>
      <w:r>
        <w:rPr>
          <w:rFonts w:ascii="Times New Roman" w:hAnsi="Times New Roman" w:cs="Times New Roman"/>
          <w:sz w:val="24"/>
          <w:szCs w:val="24"/>
        </w:rPr>
        <w:t>, о неконституционности отдельных положений которого сегодня высказался и Конституционный суд РФ.</w:t>
      </w:r>
    </w:p>
    <w:p w:rsidR="00D42560" w:rsidRDefault="00D4256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42560" w:rsidRDefault="00D42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Пытки в России запрещены — об этом Отчет АДЦ «Мемориал», нарушение прав человека запрещено — и об этом Отчет, превышение должностных полномочий сотрудниками полиции запрещено — и это сказано в Отчете, необходимо особое отношение к уязвимым группам, этническим меньшинствам, но это же и есть цели и приоритеты государственной политики России: не допускать пытки, бесчеловечное обращение, дискриминацию, нарушение прав и свобод человека и гражданина.</w:t>
      </w:r>
    </w:p>
    <w:p w:rsidR="00D42560" w:rsidRDefault="00D42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Именно на это и была направлена деятельность АДЦ «Мемориал» при публикации Отчета, именно эта деятельность благотворительного учреждения по защите прав и свобод граждан и уязвимых групп, меньшинств и подпадает под исключение из Закона. </w:t>
      </w:r>
    </w:p>
    <w:p w:rsidR="00D42560" w:rsidRDefault="00D42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буквальному толкованию указанного законоположения, не относится к политической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>деятельность в области защиты прав граждан и благотворительная деятельность.</w:t>
      </w:r>
      <w:r>
        <w:rPr>
          <w:rFonts w:ascii="Times New Roman" w:hAnsi="Times New Roman" w:cs="Times New Roman"/>
          <w:sz w:val="24"/>
          <w:szCs w:val="24"/>
        </w:rPr>
        <w:t xml:space="preserve"> Написание Отчета в Комитет против пыток являлось реализацией программы благотворительной деятельности, направленной на защиту прав уязвимых групп (мигрантов, активистов, национальных меньшинств, лиц, подвергающихся дискриминации), то есть АДЦ «Мемориал» освобождается от обязанности включения в реестр, поскольку  «защита прав граждан», которую АДЦ «Мемориал» осуществляет бесплатно для последних, не относится к политической деятельности, а является благотворительной деятельностью, равно как и защита прав лиц, подвергающихся дискриминации. </w:t>
      </w:r>
    </w:p>
    <w:p w:rsidR="00D42560" w:rsidRDefault="00D42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ст.2 Конституции РФ, признание, соблюдение и защита прав и свобод человека и гражданина устанавливается государством в качестве его прямой обязанности,  следовательно, и государственная политика в России направлена на защиту прав и свобод человека и гражданина. </w:t>
      </w:r>
    </w:p>
    <w:p w:rsidR="00D42560" w:rsidRDefault="00D42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деятельность АДЦ «Мемориал», направленная на отстаивание прав и свобод в Комитете ООН с целью влияния на государство для выполнении им своей главной обязанности </w:t>
      </w:r>
      <w:r>
        <w:rPr>
          <w:rFonts w:ascii="Times New Roman" w:hAnsi="Times New Roman" w:cs="Times New Roman"/>
          <w:b/>
          <w:sz w:val="24"/>
          <w:szCs w:val="24"/>
        </w:rPr>
        <w:t>соблюдать и защищать права и свободы человека,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 может быть признана политической деятельностью по смыслу п.6 ч.2 Закона о некоммерческих организациях.</w:t>
      </w:r>
    </w:p>
    <w:p w:rsidR="00D42560" w:rsidRDefault="00D42560">
      <w:pPr>
        <w:shd w:val="clear" w:color="auto" w:fill="FFFFFF"/>
        <w:spacing w:line="191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Иное толкование равносильно введению цензуры за выражение критического мнения, дискриминации по признаку критического отношения к власти, что недопустимо в демократическом обществе.</w:t>
      </w:r>
    </w:p>
    <w:p w:rsidR="00D42560" w:rsidRDefault="00D42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начинала свою речь с того, что, следуя логике  прокурора, за критику действий властей, издаваемых законов неправительственные организации обязаны вешать на себя клеймо иностранного агента, некой пятой колонны, которая мешает власти реализовывать свои интересы.</w:t>
      </w:r>
    </w:p>
    <w:p w:rsidR="00D42560" w:rsidRDefault="00D425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верим, что живем в свободной стране, где права и свободы человека и гражданина являются высшей ценностью, свобода выражения мнения и свобода слова, защита прав уязвимых групп и меньшинств является приоритетом всей государственной политики России, ее основной целью, в связи с чем представление Отчета в Комитет против пыток, соответствует этой  цели и государственной политике  и н</w:t>
      </w:r>
      <w:r>
        <w:rPr>
          <w:rFonts w:ascii="Times New Roman" w:hAnsi="Times New Roman"/>
          <w:sz w:val="24"/>
          <w:szCs w:val="24"/>
        </w:rPr>
        <w:t>е может быть ограничена никакими формальностями, обременениями и дополнительными требованиями включения в «реестр иностранных агентов».</w:t>
      </w:r>
    </w:p>
    <w:p w:rsidR="00D42560" w:rsidRDefault="00D425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Прошу апелляционную жалобу удовлетворить, решение суда отменить, вынести новое решение, которым в иске прокурора об обязании включения в «реестр иностранных агентов»  — отказать.</w:t>
      </w:r>
    </w:p>
    <w:p w:rsidR="00D42560" w:rsidRDefault="00D42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апреля 2014 года</w:t>
      </w:r>
    </w:p>
    <w:p w:rsidR="00D42560" w:rsidRDefault="00D425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2560" w:rsidRDefault="00D42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АДЦ «Мемориал»</w:t>
      </w:r>
    </w:p>
    <w:p w:rsidR="00D42560" w:rsidRDefault="00D42560">
      <w:pPr>
        <w:jc w:val="both"/>
      </w:pPr>
      <w:r>
        <w:rPr>
          <w:rFonts w:ascii="Times New Roman" w:hAnsi="Times New Roman" w:cs="Times New Roman"/>
          <w:sz w:val="24"/>
          <w:szCs w:val="24"/>
        </w:rPr>
        <w:t>адвокат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О.П.Цейтлина</w:t>
      </w:r>
    </w:p>
    <w:sectPr w:rsidR="00D42560" w:rsidSect="00C32662">
      <w:pgSz w:w="11906" w:h="16838"/>
      <w:pgMar w:top="1134" w:right="849" w:bottom="709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5A1"/>
    <w:rsid w:val="000912E1"/>
    <w:rsid w:val="001D15A6"/>
    <w:rsid w:val="002475A1"/>
    <w:rsid w:val="004F04B7"/>
    <w:rsid w:val="008B1B68"/>
    <w:rsid w:val="009A7BE4"/>
    <w:rsid w:val="00C32662"/>
    <w:rsid w:val="00D42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662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uiPriority w:val="99"/>
    <w:rsid w:val="00C32662"/>
  </w:style>
  <w:style w:type="character" w:customStyle="1" w:styleId="ListLabel1">
    <w:name w:val="ListLabel 1"/>
    <w:uiPriority w:val="99"/>
    <w:rsid w:val="00C32662"/>
    <w:rPr>
      <w:b/>
    </w:rPr>
  </w:style>
  <w:style w:type="character" w:customStyle="1" w:styleId="ListLabel2">
    <w:name w:val="ListLabel 2"/>
    <w:uiPriority w:val="99"/>
    <w:rsid w:val="00C32662"/>
  </w:style>
  <w:style w:type="paragraph" w:customStyle="1" w:styleId="a">
    <w:name w:val="Заголовок"/>
    <w:basedOn w:val="Normal"/>
    <w:next w:val="BodyText"/>
    <w:uiPriority w:val="99"/>
    <w:rsid w:val="00C3266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326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20314"/>
    <w:rPr>
      <w:rFonts w:ascii="Calibri" w:eastAsia="SimSun" w:hAnsi="Calibri" w:cs="Calibri"/>
      <w:kern w:val="1"/>
      <w:lang w:eastAsia="ar-SA"/>
    </w:rPr>
  </w:style>
  <w:style w:type="paragraph" w:styleId="List">
    <w:name w:val="List"/>
    <w:basedOn w:val="BodyText"/>
    <w:uiPriority w:val="99"/>
    <w:rsid w:val="00C32662"/>
    <w:rPr>
      <w:rFonts w:cs="Mangal"/>
    </w:rPr>
  </w:style>
  <w:style w:type="paragraph" w:customStyle="1" w:styleId="1">
    <w:name w:val="Название1"/>
    <w:basedOn w:val="Normal"/>
    <w:uiPriority w:val="99"/>
    <w:rsid w:val="00C326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Normal"/>
    <w:uiPriority w:val="99"/>
    <w:rsid w:val="00C32662"/>
    <w:pPr>
      <w:suppressLineNumbers/>
    </w:pPr>
    <w:rPr>
      <w:rFonts w:cs="Mangal"/>
    </w:rPr>
  </w:style>
  <w:style w:type="paragraph" w:customStyle="1" w:styleId="ListParagraph1">
    <w:name w:val="List Paragraph1"/>
    <w:basedOn w:val="Normal"/>
    <w:uiPriority w:val="99"/>
    <w:rsid w:val="00C32662"/>
    <w:pPr>
      <w:ind w:left="720"/>
    </w:pPr>
    <w:rPr>
      <w:rFonts w:eastAsia="Times New Roman" w:cs="Times New Roman"/>
    </w:rPr>
  </w:style>
  <w:style w:type="paragraph" w:customStyle="1" w:styleId="NormalWeb1">
    <w:name w:val="Normal (Web)1"/>
    <w:basedOn w:val="Normal"/>
    <w:uiPriority w:val="99"/>
    <w:rsid w:val="00C32662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rsid w:val="00C32662"/>
    <w:pPr>
      <w:suppressAutoHyphens/>
      <w:spacing w:line="100" w:lineRule="atLeast"/>
    </w:pPr>
    <w:rPr>
      <w:rFonts w:ascii="Calibri" w:eastAsia="SimSun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6</Pages>
  <Words>2625</Words>
  <Characters>14968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ТЕЗИСЫ ВЫСТУПЛЕНИЯ</dc:title>
  <dc:subject/>
  <dc:creator>Ольга</dc:creator>
  <cp:keywords/>
  <dc:description/>
  <cp:lastModifiedBy>User</cp:lastModifiedBy>
  <cp:revision>2</cp:revision>
  <cp:lastPrinted>2014-04-07T16:18:00Z</cp:lastPrinted>
  <dcterms:created xsi:type="dcterms:W3CDTF">2014-04-10T07:39:00Z</dcterms:created>
  <dcterms:modified xsi:type="dcterms:W3CDTF">2014-04-10T07:39:00Z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